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6F2D9F" w:rsidRDefault="006F2D9F" w:rsidP="007673F3">
            <w:pPr>
              <w:rPr>
                <w:rFonts w:ascii="Calibri" w:hAnsi="Calibri" w:cs="Arial"/>
                <w:color w:val="002060"/>
                <w:sz w:val="20"/>
                <w:szCs w:val="20"/>
                <w:lang w:val="el-GR"/>
              </w:rPr>
            </w:pPr>
            <w:r>
              <w:rPr>
                <w:rFonts w:ascii="Calibri" w:hAnsi="Calibri" w:cs="Arial"/>
                <w:color w:val="002060"/>
                <w:sz w:val="20"/>
                <w:szCs w:val="20"/>
                <w:lang w:val="el-GR"/>
              </w:rPr>
              <w:t>Επιστημών της Διοίκησης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6F2D9F" w:rsidRDefault="006F2D9F" w:rsidP="007673F3">
            <w:pPr>
              <w:rPr>
                <w:rFonts w:ascii="Calibri" w:hAnsi="Calibri" w:cs="Arial"/>
                <w:color w:val="002060"/>
                <w:sz w:val="20"/>
                <w:szCs w:val="20"/>
                <w:lang w:val="el-GR"/>
              </w:rPr>
            </w:pPr>
            <w:r>
              <w:rPr>
                <w:rFonts w:ascii="Calibri" w:hAnsi="Calibri" w:cs="Arial"/>
                <w:color w:val="002060"/>
                <w:sz w:val="20"/>
                <w:szCs w:val="20"/>
                <w:lang w:val="el-GR"/>
              </w:rPr>
              <w:t>Διοίκησης Επιχειρήσεων</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6F2D9F" w:rsidP="007673F3">
            <w:pPr>
              <w:rPr>
                <w:rFonts w:ascii="Calibri" w:hAnsi="Calibri" w:cs="Arial"/>
                <w:color w:val="002060"/>
                <w:sz w:val="20"/>
                <w:szCs w:val="20"/>
                <w:lang w:val="el-GR"/>
              </w:rPr>
            </w:pPr>
            <w:r>
              <w:rPr>
                <w:rFonts w:ascii="Calibri" w:hAnsi="Calibri" w:cs="Arial"/>
                <w:color w:val="002060"/>
                <w:sz w:val="20"/>
                <w:szCs w:val="20"/>
                <w:lang w:val="el-GR"/>
              </w:rPr>
              <w:t>Μεταπτυχιακό - ΠΜΣ ΜΒΑ</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F4FD4" w:rsidRPr="00705AAD" w:rsidRDefault="00343702" w:rsidP="007673F3">
            <w:pPr>
              <w:rPr>
                <w:rFonts w:ascii="Calibri" w:hAnsi="Calibri" w:cs="Arial"/>
                <w:b/>
                <w:sz w:val="20"/>
                <w:szCs w:val="20"/>
                <w:lang w:val="el-GR"/>
              </w:rPr>
            </w:pPr>
            <w:r>
              <w:rPr>
                <w:rFonts w:ascii="Calibri" w:hAnsi="Calibri" w:cs="Arial"/>
                <w:b/>
                <w:sz w:val="20"/>
                <w:szCs w:val="20"/>
                <w:lang w:val="el-GR"/>
              </w:rPr>
              <w:t>KO</w:t>
            </w:r>
            <w:r w:rsidR="00D126F0">
              <w:rPr>
                <w:rFonts w:ascii="Calibri" w:hAnsi="Calibri" w:cs="Arial"/>
                <w:b/>
                <w:sz w:val="20"/>
                <w:szCs w:val="20"/>
                <w:lang w:val="el-GR"/>
              </w:rPr>
              <w:t xml:space="preserve"> 00</w:t>
            </w:r>
            <w:r>
              <w:rPr>
                <w:rFonts w:ascii="Calibri" w:hAnsi="Calibri" w:cs="Arial"/>
                <w:b/>
                <w:sz w:val="20"/>
                <w:szCs w:val="20"/>
                <w:lang w:val="el-GR"/>
              </w:rPr>
              <w:t>05</w:t>
            </w:r>
          </w:p>
        </w:tc>
        <w:tc>
          <w:tcPr>
            <w:tcW w:w="2505"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705AAD" w:rsidRDefault="00343702" w:rsidP="007673F3">
            <w:pPr>
              <w:rPr>
                <w:rFonts w:ascii="Calibri" w:hAnsi="Calibri" w:cs="Arial"/>
                <w:b/>
                <w:sz w:val="20"/>
                <w:szCs w:val="20"/>
                <w:lang w:val="el-GR"/>
              </w:rPr>
            </w:pPr>
            <w:r>
              <w:rPr>
                <w:rFonts w:ascii="Calibri" w:hAnsi="Calibri" w:cs="Arial"/>
                <w:b/>
                <w:sz w:val="20"/>
                <w:szCs w:val="20"/>
                <w:lang w:val="el-GR"/>
              </w:rPr>
              <w:t>1</w:t>
            </w:r>
          </w:p>
        </w:tc>
      </w:tr>
      <w:tr w:rsidR="000F4FD4" w:rsidRPr="00705AAD" w:rsidTr="007673F3">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D126F0" w:rsidRDefault="00D126F0" w:rsidP="007673F3">
            <w:pPr>
              <w:rPr>
                <w:rFonts w:ascii="Calibri" w:hAnsi="Calibri" w:cs="Arial"/>
                <w:sz w:val="20"/>
                <w:szCs w:val="20"/>
                <w:lang w:val="el-GR"/>
              </w:rPr>
            </w:pPr>
            <w:r>
              <w:rPr>
                <w:rFonts w:ascii="Calibri" w:hAnsi="Calibri" w:cs="Arial"/>
                <w:sz w:val="20"/>
                <w:szCs w:val="20"/>
                <w:lang w:val="el-GR"/>
              </w:rPr>
              <w:t xml:space="preserve">Χρηματοοικονομική </w:t>
            </w:r>
            <w:r w:rsidR="00343702">
              <w:rPr>
                <w:rFonts w:ascii="Calibri" w:hAnsi="Calibri" w:cs="Arial"/>
                <w:sz w:val="20"/>
                <w:szCs w:val="20"/>
                <w:lang w:val="el-GR"/>
              </w:rPr>
              <w:t>Διοίκηση</w:t>
            </w:r>
          </w:p>
        </w:tc>
      </w:tr>
      <w:tr w:rsidR="000F4FD4" w:rsidRPr="00705AAD" w:rsidTr="007673F3">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7673F3">
        <w:trPr>
          <w:trHeight w:val="194"/>
        </w:trPr>
        <w:tc>
          <w:tcPr>
            <w:tcW w:w="5637" w:type="dxa"/>
            <w:gridSpan w:val="3"/>
          </w:tcPr>
          <w:p w:rsidR="000F4FD4" w:rsidRPr="00705AAD" w:rsidRDefault="00D126F0" w:rsidP="007673F3">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rsidR="000F4FD4" w:rsidRPr="00705AAD" w:rsidRDefault="00D126F0"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rsidR="000F4FD4" w:rsidRPr="00705AAD" w:rsidRDefault="00D126F0" w:rsidP="007673F3">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0F4FD4" w:rsidRPr="00705AAD" w:rsidTr="007673F3">
        <w:trPr>
          <w:trHeight w:val="194"/>
        </w:trPr>
        <w:tc>
          <w:tcPr>
            <w:tcW w:w="5637" w:type="dxa"/>
            <w:gridSpan w:val="3"/>
          </w:tcPr>
          <w:p w:rsidR="000F4FD4" w:rsidRPr="00705AAD" w:rsidRDefault="000F4FD4" w:rsidP="007673F3">
            <w:pPr>
              <w:jc w:val="right"/>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7673F3">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F9479A" w:rsidTr="007673F3">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007673F3">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705AAD" w:rsidRDefault="00343702" w:rsidP="007673F3">
            <w:pPr>
              <w:rPr>
                <w:rFonts w:ascii="Calibri" w:hAnsi="Calibri" w:cs="Arial"/>
                <w:color w:val="002060"/>
                <w:sz w:val="20"/>
                <w:szCs w:val="20"/>
                <w:lang w:val="el-GR"/>
              </w:rPr>
            </w:pPr>
            <w:r>
              <w:rPr>
                <w:rFonts w:ascii="Calibri" w:hAnsi="Calibri" w:cs="Arial"/>
                <w:color w:val="002060"/>
                <w:sz w:val="20"/>
                <w:szCs w:val="20"/>
                <w:lang w:val="el-GR"/>
              </w:rPr>
              <w:t>Εξειδίκευσης γενικής γνώσης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705AAD" w:rsidRDefault="00D126F0"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D126F0" w:rsidRDefault="00D126F0"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362E12"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0F4FD4" w:rsidRPr="00705AAD" w:rsidRDefault="00D126F0"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705AAD" w:rsidRDefault="00D126F0" w:rsidP="007673F3">
            <w:pPr>
              <w:spacing w:after="200" w:line="276" w:lineRule="auto"/>
              <w:rPr>
                <w:rFonts w:ascii="Calibri" w:eastAsia="Calibri" w:hAnsi="Calibri" w:cs="Arial"/>
                <w:color w:val="002060"/>
                <w:sz w:val="20"/>
                <w:szCs w:val="20"/>
                <w:lang w:val="en-GB"/>
              </w:rPr>
            </w:pPr>
            <w:r w:rsidRPr="00D126F0">
              <w:rPr>
                <w:rFonts w:ascii="Calibri" w:eastAsia="Calibri" w:hAnsi="Calibri" w:cs="Arial"/>
                <w:color w:val="002060"/>
                <w:sz w:val="20"/>
                <w:szCs w:val="20"/>
                <w:lang w:val="en-GB"/>
              </w:rPr>
              <w:t>http://eclas</w:t>
            </w:r>
            <w:r w:rsidR="004520EF">
              <w:rPr>
                <w:rFonts w:ascii="Calibri" w:eastAsia="Calibri" w:hAnsi="Calibri" w:cs="Arial"/>
                <w:color w:val="002060"/>
                <w:sz w:val="20"/>
                <w:szCs w:val="20"/>
                <w:lang w:val="en-GB"/>
              </w:rPr>
              <w:t>s.chios.aegean.gr/courses/DBA181</w:t>
            </w:r>
            <w:bookmarkStart w:id="1" w:name="_GoBack"/>
            <w:bookmarkEnd w:id="1"/>
            <w:r w:rsidRPr="00D126F0">
              <w:rPr>
                <w:rFonts w:ascii="Calibri" w:eastAsia="Calibri" w:hAnsi="Calibri" w:cs="Arial"/>
                <w:color w:val="002060"/>
                <w:sz w:val="20"/>
                <w:szCs w:val="20"/>
                <w:lang w:val="en-GB"/>
              </w:rPr>
              <w:t>/</w:t>
            </w:r>
          </w:p>
        </w:tc>
      </w:tr>
    </w:tbl>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F9479A"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9479A" w:rsidTr="00305D37">
        <w:tc>
          <w:tcPr>
            <w:tcW w:w="8472" w:type="dxa"/>
            <w:gridSpan w:val="2"/>
          </w:tcPr>
          <w:p w:rsidR="000F4FD4" w:rsidRDefault="000F4FD4" w:rsidP="00305D37">
            <w:pPr>
              <w:widowControl w:val="0"/>
              <w:autoSpaceDE w:val="0"/>
              <w:autoSpaceDN w:val="0"/>
              <w:adjustRightInd w:val="0"/>
              <w:rPr>
                <w:rFonts w:ascii="Calibri" w:eastAsia="Calibri" w:hAnsi="Calibri"/>
                <w:b/>
                <w:color w:val="002060"/>
                <w:lang w:val="el-GR"/>
              </w:rPr>
            </w:pPr>
          </w:p>
          <w:p w:rsidR="00343702" w:rsidRDefault="00D126F0" w:rsidP="00343702">
            <w:pPr>
              <w:rPr>
                <w:rFonts w:ascii="Book Antiqua" w:hAnsi="Book Antiqua"/>
                <w:lang w:val="el-GR"/>
              </w:rPr>
            </w:pPr>
            <w:r w:rsidRPr="00DA4BAB">
              <w:rPr>
                <w:rFonts w:ascii="Book Antiqua" w:hAnsi="Book Antiqua"/>
                <w:lang w:val="el-GR"/>
              </w:rPr>
              <w:t xml:space="preserve">Με την ολοκλήρωση </w:t>
            </w:r>
            <w:r>
              <w:rPr>
                <w:rFonts w:ascii="Book Antiqua" w:hAnsi="Book Antiqua"/>
                <w:lang w:val="el-GR"/>
              </w:rPr>
              <w:t>της εκπαιδευτικής διαδικασίας του μαθ</w:t>
            </w:r>
            <w:r w:rsidRPr="00DA4BAB">
              <w:rPr>
                <w:rFonts w:ascii="Book Antiqua" w:hAnsi="Book Antiqua"/>
                <w:lang w:val="el-GR"/>
              </w:rPr>
              <w:t>ήματος</w:t>
            </w:r>
            <w:r>
              <w:rPr>
                <w:rFonts w:ascii="Book Antiqua" w:hAnsi="Book Antiqua"/>
                <w:lang w:val="el-GR"/>
              </w:rPr>
              <w:t xml:space="preserve"> ο/η φοιτητής/ρια θα είναι σε θέση να:</w:t>
            </w:r>
          </w:p>
          <w:p w:rsidR="00343702" w:rsidRDefault="00343702" w:rsidP="00343702">
            <w:pPr>
              <w:rPr>
                <w:rFonts w:ascii="Calibri" w:hAnsi="Calibri" w:cs="Arial"/>
                <w:sz w:val="16"/>
                <w:szCs w:val="16"/>
                <w:lang w:val="el-GR"/>
              </w:rPr>
            </w:pPr>
          </w:p>
          <w:p w:rsidR="00343702" w:rsidRDefault="00343702" w:rsidP="00343702">
            <w:pPr>
              <w:rPr>
                <w:rFonts w:ascii="Book Antiqua" w:hAnsi="Book Antiqua"/>
                <w:b/>
                <w:lang w:val="el-GR"/>
              </w:rPr>
            </w:pPr>
            <w:r>
              <w:rPr>
                <w:rFonts w:ascii="Book Antiqua" w:hAnsi="Book Antiqua"/>
                <w:lang w:val="el-GR"/>
              </w:rPr>
              <w:t>Αναγνωρίζει το θεσμικό πλαίσιο των κυριότερων αγορών χρήματος και κεφαλαίου.</w:t>
            </w:r>
            <w:r>
              <w:rPr>
                <w:rFonts w:ascii="Book Antiqua" w:hAnsi="Book Antiqua"/>
                <w:lang w:val="el-GR"/>
              </w:rPr>
              <w:br/>
              <w:t>Αναλύει την οικονομική δομή των κυριότερων αγορών χρήματος και κεφαλαίου</w:t>
            </w:r>
            <w:r>
              <w:rPr>
                <w:rFonts w:ascii="Book Antiqua" w:hAnsi="Book Antiqua"/>
                <w:b/>
                <w:lang w:val="el-GR"/>
              </w:rPr>
              <w:t>.</w:t>
            </w:r>
          </w:p>
          <w:p w:rsidR="00343702" w:rsidRDefault="00343702" w:rsidP="00343702">
            <w:pPr>
              <w:rPr>
                <w:rFonts w:ascii="Book Antiqua" w:hAnsi="Book Antiqua"/>
                <w:lang w:val="el-GR"/>
              </w:rPr>
            </w:pPr>
            <w:r>
              <w:rPr>
                <w:rFonts w:ascii="Book Antiqua" w:hAnsi="Book Antiqua"/>
                <w:lang w:val="el-GR"/>
              </w:rPr>
              <w:t>Αξιολογεί επενδυτικές ευκαιρίες.</w:t>
            </w:r>
          </w:p>
          <w:p w:rsidR="00343702" w:rsidRDefault="00343702" w:rsidP="00343702">
            <w:pPr>
              <w:rPr>
                <w:rFonts w:ascii="Book Antiqua" w:hAnsi="Book Antiqua"/>
                <w:lang w:val="el-GR"/>
              </w:rPr>
            </w:pPr>
            <w:r>
              <w:rPr>
                <w:rFonts w:ascii="Book Antiqua" w:hAnsi="Book Antiqua"/>
                <w:lang w:val="el-GR"/>
              </w:rPr>
              <w:t>Αποτιμά ομόλογα.</w:t>
            </w:r>
          </w:p>
          <w:p w:rsidR="00343702" w:rsidRDefault="00343702" w:rsidP="00343702">
            <w:pPr>
              <w:rPr>
                <w:rFonts w:ascii="Book Antiqua" w:hAnsi="Book Antiqua"/>
                <w:lang w:val="el-GR"/>
              </w:rPr>
            </w:pPr>
            <w:r>
              <w:rPr>
                <w:rFonts w:ascii="Book Antiqua" w:hAnsi="Book Antiqua"/>
                <w:lang w:val="el-GR"/>
              </w:rPr>
              <w:t>Αποτιμά μετοχές.</w:t>
            </w:r>
          </w:p>
          <w:p w:rsidR="00343702" w:rsidRDefault="00343702" w:rsidP="00343702">
            <w:pPr>
              <w:rPr>
                <w:rFonts w:ascii="Book Antiqua" w:hAnsi="Book Antiqua"/>
                <w:b/>
                <w:lang w:val="el-GR"/>
              </w:rPr>
            </w:pPr>
            <w:r>
              <w:rPr>
                <w:rFonts w:ascii="Book Antiqua" w:hAnsi="Book Antiqua"/>
                <w:lang w:val="el-GR"/>
              </w:rPr>
              <w:t>Κατασκευάζει χαρτοφυλάκια αξιόγραφων, με κριτήριο την αναμενόμενη απόδοση και τον κίνδυνο.</w:t>
            </w:r>
          </w:p>
          <w:p w:rsidR="00343702" w:rsidRDefault="00343702" w:rsidP="00343702">
            <w:pPr>
              <w:rPr>
                <w:rFonts w:ascii="Book Antiqua" w:hAnsi="Book Antiqua"/>
                <w:lang w:val="el-GR"/>
              </w:rPr>
            </w:pPr>
            <w:r>
              <w:rPr>
                <w:rFonts w:ascii="Book Antiqua" w:hAnsi="Book Antiqua"/>
                <w:lang w:val="el-GR"/>
              </w:rPr>
              <w:lastRenderedPageBreak/>
              <w:t>Αξιολογεί την απόδοση χαρτοφυλακίων.</w:t>
            </w:r>
          </w:p>
          <w:p w:rsidR="00343702" w:rsidRDefault="00343702" w:rsidP="00343702">
            <w:pPr>
              <w:rPr>
                <w:rFonts w:ascii="Book Antiqua" w:hAnsi="Book Antiqua"/>
                <w:lang w:val="el-GR"/>
              </w:rPr>
            </w:pPr>
            <w:r>
              <w:rPr>
                <w:rFonts w:ascii="Book Antiqua" w:hAnsi="Book Antiqua"/>
                <w:lang w:val="el-GR"/>
              </w:rPr>
              <w:t>Αναλύει τη δομή και τη λειτουργία των αγορών χρηματοοικονομικών παραγώγων.</w:t>
            </w:r>
          </w:p>
          <w:p w:rsidR="00343702" w:rsidRDefault="00343702" w:rsidP="00343702">
            <w:pPr>
              <w:rPr>
                <w:rFonts w:ascii="Book Antiqua" w:hAnsi="Book Antiqua"/>
                <w:b/>
                <w:lang w:val="el-GR"/>
              </w:rPr>
            </w:pPr>
            <w:r>
              <w:rPr>
                <w:rFonts w:ascii="Book Antiqua" w:hAnsi="Book Antiqua"/>
                <w:lang w:val="el-GR"/>
              </w:rPr>
              <w:t>Αναλύει την αποτελεσματικότητα των αγορών.</w:t>
            </w:r>
          </w:p>
          <w:p w:rsidR="00343702" w:rsidRPr="00343702" w:rsidRDefault="00343702" w:rsidP="00343702">
            <w:pPr>
              <w:rPr>
                <w:rFonts w:ascii="Calibri" w:hAnsi="Calibri" w:cs="Arial"/>
                <w:sz w:val="16"/>
                <w:szCs w:val="16"/>
                <w:lang w:val="el-GR"/>
              </w:rPr>
            </w:pPr>
          </w:p>
          <w:p w:rsidR="00F03B25" w:rsidRPr="00705AAD" w:rsidRDefault="00343702" w:rsidP="00343702">
            <w:pPr>
              <w:rPr>
                <w:rFonts w:ascii="Calibri" w:hAnsi="Calibri" w:cs="Arial"/>
                <w:i/>
                <w:sz w:val="16"/>
                <w:szCs w:val="16"/>
                <w:lang w:val="el-GR"/>
              </w:rPr>
            </w:pPr>
            <w:r w:rsidRPr="00705AAD">
              <w:rPr>
                <w:rFonts w:ascii="Calibri" w:hAnsi="Calibri" w:cs="Arial"/>
                <w:i/>
                <w:sz w:val="16"/>
                <w:szCs w:val="16"/>
                <w:lang w:val="el-GR"/>
              </w:rPr>
              <w:t xml:space="preserve"> </w:t>
            </w:r>
          </w:p>
        </w:tc>
      </w:tr>
      <w:tr w:rsidR="000F4FD4" w:rsidRPr="00705AAD"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F9479A"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rsidTr="00305D37">
        <w:tc>
          <w:tcPr>
            <w:tcW w:w="8472" w:type="dxa"/>
            <w:gridSpan w:val="2"/>
            <w:tcBorders>
              <w:bottom w:val="single" w:sz="4" w:space="0" w:color="auto"/>
            </w:tcBorders>
          </w:tcPr>
          <w:p w:rsidR="000F4FD4" w:rsidRPr="00705AAD" w:rsidRDefault="000F4FD4" w:rsidP="00305D37">
            <w:pPr>
              <w:rPr>
                <w:rFonts w:ascii="Calibri" w:hAnsi="Calibri" w:cs="Arial"/>
                <w:color w:val="002060"/>
                <w:sz w:val="20"/>
                <w:szCs w:val="20"/>
                <w:lang w:val="el-GR"/>
              </w:rPr>
            </w:pPr>
          </w:p>
          <w:p w:rsidR="00D126F0" w:rsidRPr="00003130" w:rsidRDefault="00D126F0" w:rsidP="00D126F0">
            <w:pPr>
              <w:rPr>
                <w:rFonts w:ascii="Calibri" w:hAnsi="Calibri" w:cs="Arial"/>
                <w:sz w:val="20"/>
                <w:szCs w:val="20"/>
                <w:lang w:val="el-GR"/>
              </w:rPr>
            </w:pPr>
            <w:r w:rsidRPr="00003130">
              <w:rPr>
                <w:rFonts w:ascii="Calibri" w:hAnsi="Calibri" w:cs="Arial"/>
                <w:sz w:val="20"/>
                <w:szCs w:val="20"/>
                <w:lang w:val="el-GR"/>
              </w:rPr>
              <w:t>Αυτόνομη εργασία</w:t>
            </w:r>
          </w:p>
          <w:p w:rsidR="00CE35FF" w:rsidRPr="00003130" w:rsidRDefault="00CE35FF" w:rsidP="00D126F0">
            <w:pPr>
              <w:rPr>
                <w:rFonts w:ascii="Calibri" w:hAnsi="Calibri" w:cs="Arial"/>
                <w:sz w:val="20"/>
                <w:szCs w:val="20"/>
                <w:lang w:val="el-GR"/>
              </w:rPr>
            </w:pPr>
            <w:r w:rsidRPr="00003130">
              <w:rPr>
                <w:rFonts w:ascii="Calibri" w:hAnsi="Calibri" w:cs="Arial"/>
                <w:sz w:val="20"/>
                <w:szCs w:val="20"/>
                <w:lang w:val="el-GR"/>
              </w:rPr>
              <w:t>Ομαδική εργασία</w:t>
            </w:r>
          </w:p>
          <w:p w:rsidR="00D126F0" w:rsidRPr="00003130" w:rsidRDefault="00D126F0" w:rsidP="00D126F0">
            <w:pPr>
              <w:rPr>
                <w:rFonts w:ascii="Calibri" w:hAnsi="Calibri" w:cs="Arial"/>
                <w:sz w:val="20"/>
                <w:szCs w:val="20"/>
                <w:lang w:val="el-GR"/>
              </w:rPr>
            </w:pPr>
            <w:r w:rsidRPr="00003130">
              <w:rPr>
                <w:rFonts w:ascii="Calibri" w:hAnsi="Calibri" w:cs="Arial"/>
                <w:sz w:val="20"/>
                <w:szCs w:val="20"/>
                <w:lang w:val="el-GR"/>
              </w:rPr>
              <w:t>Λήψη αποφάσεων</w:t>
            </w:r>
          </w:p>
          <w:p w:rsidR="00D126F0" w:rsidRPr="00003130" w:rsidRDefault="00D126F0" w:rsidP="00D126F0">
            <w:pPr>
              <w:rPr>
                <w:rFonts w:ascii="Calibri" w:hAnsi="Calibri" w:cs="Arial"/>
                <w:sz w:val="20"/>
                <w:szCs w:val="20"/>
                <w:lang w:val="el-GR"/>
              </w:rPr>
            </w:pPr>
            <w:r w:rsidRPr="00003130">
              <w:rPr>
                <w:rFonts w:ascii="Calibri" w:hAnsi="Calibri" w:cs="Arial"/>
                <w:sz w:val="20"/>
                <w:szCs w:val="20"/>
                <w:lang w:val="el-GR"/>
              </w:rPr>
              <w:t>Προαγωγή της ελεύθερης, δημιουργικής και επαγωγικής σκέψης</w:t>
            </w:r>
          </w:p>
          <w:p w:rsidR="00D126F0" w:rsidRPr="00003130" w:rsidRDefault="00D126F0" w:rsidP="00D126F0">
            <w:pPr>
              <w:widowControl w:val="0"/>
              <w:autoSpaceDE w:val="0"/>
              <w:autoSpaceDN w:val="0"/>
              <w:adjustRightInd w:val="0"/>
              <w:rPr>
                <w:rFonts w:ascii="Calibri" w:eastAsia="Calibri" w:hAnsi="Calibri"/>
                <w:sz w:val="20"/>
                <w:szCs w:val="20"/>
                <w:lang w:val="el-GR"/>
              </w:rPr>
            </w:pPr>
            <w:r w:rsidRPr="00003130">
              <w:rPr>
                <w:rFonts w:ascii="Calibri" w:eastAsia="Calibri" w:hAnsi="Calibri"/>
                <w:sz w:val="20"/>
                <w:szCs w:val="20"/>
                <w:lang w:val="el-GR"/>
              </w:rPr>
              <w:t>Παραγωγή νέων ερευνητικών ιδεών</w:t>
            </w:r>
          </w:p>
          <w:p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p>
    <w:p w:rsidR="007941F8" w:rsidRDefault="007941F8">
      <w:pPr>
        <w:rPr>
          <w:rFonts w:ascii="Calibri" w:hAnsi="Calibri" w:cs="Arial"/>
          <w:b/>
          <w:color w:val="000000"/>
          <w:sz w:val="22"/>
          <w:szCs w:val="22"/>
          <w:lang w:val="el-GR"/>
        </w:rPr>
      </w:pPr>
      <w:r>
        <w:rPr>
          <w:rFonts w:ascii="Calibri" w:hAnsi="Calibri" w:cs="Arial"/>
          <w:b/>
          <w:color w:val="000000"/>
          <w:sz w:val="22"/>
          <w:szCs w:val="22"/>
          <w:lang w:val="el-GR"/>
        </w:rPr>
        <w:t>(3) 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941F8" w:rsidRPr="00F9479A" w:rsidTr="00A11225">
        <w:tc>
          <w:tcPr>
            <w:tcW w:w="8472" w:type="dxa"/>
          </w:tcPr>
          <w:p w:rsidR="007941F8" w:rsidRDefault="007941F8" w:rsidP="00A11225">
            <w:pPr>
              <w:rPr>
                <w:rFonts w:ascii="Calibri" w:eastAsia="Calibri" w:hAnsi="Calibri"/>
                <w:iCs/>
                <w:color w:val="002060"/>
                <w:lang w:val="el-GR"/>
              </w:rPr>
            </w:pPr>
          </w:p>
          <w:p w:rsidR="00343702" w:rsidRPr="00343702" w:rsidRDefault="00D126F0" w:rsidP="00343702">
            <w:pPr>
              <w:rPr>
                <w:rFonts w:ascii="Book Antiqua" w:hAnsi="Book Antiqua"/>
                <w:lang w:val="el-GR"/>
              </w:rPr>
            </w:pPr>
            <w:r>
              <w:rPr>
                <w:rFonts w:ascii="Book Antiqua" w:hAnsi="Book Antiqua"/>
                <w:lang w:val="el-GR"/>
              </w:rPr>
              <w:t xml:space="preserve">1 </w:t>
            </w:r>
            <w:r w:rsidR="00343702">
              <w:rPr>
                <w:rFonts w:ascii="Book Antiqua" w:hAnsi="Book Antiqua"/>
                <w:lang w:val="el-GR"/>
              </w:rPr>
              <w:t>Εισαγωγή στη χρηματοοικονομική διοίκηση</w:t>
            </w:r>
          </w:p>
          <w:p w:rsidR="00343702" w:rsidRPr="00343702" w:rsidRDefault="00343702" w:rsidP="00343702">
            <w:pPr>
              <w:rPr>
                <w:rFonts w:ascii="Book Antiqua" w:hAnsi="Book Antiqua"/>
                <w:lang w:val="el-GR"/>
              </w:rPr>
            </w:pPr>
            <w:r w:rsidRPr="00343702">
              <w:rPr>
                <w:rFonts w:ascii="Book Antiqua" w:hAnsi="Book Antiqua"/>
                <w:lang w:val="el-GR"/>
              </w:rPr>
              <w:t xml:space="preserve">2 </w:t>
            </w:r>
            <w:r>
              <w:rPr>
                <w:rFonts w:ascii="Book Antiqua" w:hAnsi="Book Antiqua"/>
                <w:lang w:val="el-GR"/>
              </w:rPr>
              <w:t>Αξία του χρήματος στο χρόνο</w:t>
            </w:r>
          </w:p>
          <w:p w:rsidR="00343702" w:rsidRPr="00343702" w:rsidRDefault="00343702" w:rsidP="00343702">
            <w:pPr>
              <w:rPr>
                <w:rFonts w:ascii="Book Antiqua" w:hAnsi="Book Antiqua"/>
                <w:lang w:val="el-GR"/>
              </w:rPr>
            </w:pPr>
            <w:r w:rsidRPr="00343702">
              <w:rPr>
                <w:rFonts w:ascii="Book Antiqua" w:hAnsi="Book Antiqua"/>
                <w:lang w:val="el-GR"/>
              </w:rPr>
              <w:t xml:space="preserve">3 </w:t>
            </w:r>
            <w:r>
              <w:rPr>
                <w:rFonts w:ascii="Book Antiqua" w:hAnsi="Book Antiqua"/>
                <w:lang w:val="el-GR"/>
              </w:rPr>
              <w:t>Εισαγωγή στην απόδοση και τον κίνδυνο</w:t>
            </w:r>
          </w:p>
          <w:p w:rsidR="00343702" w:rsidRPr="00343702" w:rsidRDefault="00343702" w:rsidP="00343702">
            <w:pPr>
              <w:rPr>
                <w:rFonts w:ascii="Book Antiqua" w:hAnsi="Book Antiqua"/>
                <w:lang w:val="el-GR"/>
              </w:rPr>
            </w:pPr>
            <w:r w:rsidRPr="00343702">
              <w:rPr>
                <w:rFonts w:ascii="Book Antiqua" w:hAnsi="Book Antiqua"/>
                <w:lang w:val="el-GR"/>
              </w:rPr>
              <w:t xml:space="preserve">4 </w:t>
            </w:r>
            <w:r>
              <w:rPr>
                <w:rFonts w:ascii="Book Antiqua" w:hAnsi="Book Antiqua"/>
                <w:lang w:val="el-GR"/>
              </w:rPr>
              <w:t>Κόστος κεφαλαίου</w:t>
            </w:r>
          </w:p>
          <w:p w:rsidR="00343702" w:rsidRPr="00343702" w:rsidRDefault="00343702" w:rsidP="00343702">
            <w:pPr>
              <w:rPr>
                <w:rFonts w:ascii="Book Antiqua" w:hAnsi="Book Antiqua"/>
                <w:lang w:val="el-GR"/>
              </w:rPr>
            </w:pPr>
            <w:r w:rsidRPr="00343702">
              <w:rPr>
                <w:rFonts w:ascii="Book Antiqua" w:hAnsi="Book Antiqua"/>
                <w:lang w:val="el-GR"/>
              </w:rPr>
              <w:t xml:space="preserve">5 </w:t>
            </w:r>
            <w:r>
              <w:rPr>
                <w:rFonts w:ascii="Book Antiqua" w:hAnsi="Book Antiqua"/>
                <w:lang w:val="el-GR"/>
              </w:rPr>
              <w:t>Κριτήρια αξιολόγησης επενδύσεων</w:t>
            </w:r>
          </w:p>
          <w:p w:rsidR="00343702" w:rsidRPr="00343702" w:rsidRDefault="00343702" w:rsidP="00343702">
            <w:pPr>
              <w:rPr>
                <w:rFonts w:ascii="Book Antiqua" w:hAnsi="Book Antiqua"/>
                <w:lang w:val="el-GR"/>
              </w:rPr>
            </w:pPr>
            <w:r w:rsidRPr="00343702">
              <w:rPr>
                <w:rFonts w:ascii="Book Antiqua" w:hAnsi="Book Antiqua"/>
                <w:lang w:val="el-GR"/>
              </w:rPr>
              <w:t xml:space="preserve">6 </w:t>
            </w:r>
            <w:r>
              <w:rPr>
                <w:rFonts w:ascii="Book Antiqua" w:hAnsi="Book Antiqua"/>
                <w:lang w:val="el-GR"/>
              </w:rPr>
              <w:t>Αποτελεσματικές αγορές</w:t>
            </w:r>
          </w:p>
          <w:p w:rsidR="00343702" w:rsidRPr="00343702" w:rsidRDefault="00343702" w:rsidP="00343702">
            <w:pPr>
              <w:rPr>
                <w:rFonts w:ascii="Book Antiqua" w:hAnsi="Book Antiqua"/>
                <w:lang w:val="el-GR"/>
              </w:rPr>
            </w:pPr>
            <w:r w:rsidRPr="00343702">
              <w:rPr>
                <w:rFonts w:ascii="Book Antiqua" w:hAnsi="Book Antiqua"/>
                <w:lang w:val="el-GR"/>
              </w:rPr>
              <w:t xml:space="preserve">7 </w:t>
            </w:r>
            <w:r>
              <w:rPr>
                <w:rFonts w:ascii="Book Antiqua" w:hAnsi="Book Antiqua"/>
                <w:lang w:val="el-GR"/>
              </w:rPr>
              <w:t>Αποτίμηση περιουσιακών στοιχείων: το Υπόδειγμα Αποτίμησης Περιουσιακών Στοιχείων</w:t>
            </w:r>
          </w:p>
          <w:p w:rsidR="00343702" w:rsidRPr="00343702" w:rsidRDefault="00343702" w:rsidP="00343702">
            <w:pPr>
              <w:rPr>
                <w:rFonts w:ascii="Book Antiqua" w:hAnsi="Book Antiqua"/>
                <w:lang w:val="el-GR"/>
              </w:rPr>
            </w:pPr>
            <w:r w:rsidRPr="00343702">
              <w:rPr>
                <w:rFonts w:ascii="Book Antiqua" w:hAnsi="Book Antiqua"/>
                <w:lang w:val="el-GR"/>
              </w:rPr>
              <w:t xml:space="preserve">8 </w:t>
            </w:r>
            <w:r>
              <w:rPr>
                <w:rFonts w:ascii="Book Antiqua" w:hAnsi="Book Antiqua"/>
                <w:lang w:val="el-GR"/>
              </w:rPr>
              <w:t>Αποτίμηση αξιογράφων: Μετοχές</w:t>
            </w:r>
          </w:p>
          <w:p w:rsidR="00343702" w:rsidRPr="00343702" w:rsidRDefault="00343702" w:rsidP="00343702">
            <w:pPr>
              <w:rPr>
                <w:rFonts w:ascii="Book Antiqua" w:hAnsi="Book Antiqua"/>
                <w:lang w:val="el-GR"/>
              </w:rPr>
            </w:pPr>
            <w:r w:rsidRPr="00343702">
              <w:rPr>
                <w:rFonts w:ascii="Book Antiqua" w:hAnsi="Book Antiqua"/>
                <w:lang w:val="el-GR"/>
              </w:rPr>
              <w:t xml:space="preserve">9 </w:t>
            </w:r>
            <w:r>
              <w:rPr>
                <w:rFonts w:ascii="Book Antiqua" w:hAnsi="Book Antiqua"/>
                <w:lang w:val="el-GR"/>
              </w:rPr>
              <w:t>Αποτίμηση αξιογράφων: Ομόλογα</w:t>
            </w:r>
          </w:p>
          <w:p w:rsidR="00343702" w:rsidRPr="00343702" w:rsidRDefault="00343702" w:rsidP="00343702">
            <w:pPr>
              <w:rPr>
                <w:rFonts w:ascii="Book Antiqua" w:hAnsi="Book Antiqua"/>
                <w:lang w:val="el-GR"/>
              </w:rPr>
            </w:pPr>
            <w:r w:rsidRPr="00343702">
              <w:rPr>
                <w:rFonts w:ascii="Book Antiqua" w:hAnsi="Book Antiqua"/>
                <w:lang w:val="el-GR"/>
              </w:rPr>
              <w:t xml:space="preserve">10 </w:t>
            </w:r>
            <w:r>
              <w:rPr>
                <w:rFonts w:ascii="Book Antiqua" w:hAnsi="Book Antiqua"/>
                <w:lang w:val="el-GR"/>
              </w:rPr>
              <w:t>Εισαγωγή στη διαχείριση χαρτοφυλακίου</w:t>
            </w:r>
          </w:p>
          <w:p w:rsidR="00343702" w:rsidRPr="00343702" w:rsidRDefault="00343702" w:rsidP="00343702">
            <w:pPr>
              <w:rPr>
                <w:rFonts w:ascii="Book Antiqua" w:hAnsi="Book Antiqua"/>
                <w:lang w:val="el-GR"/>
              </w:rPr>
            </w:pPr>
            <w:r w:rsidRPr="00343702">
              <w:rPr>
                <w:rFonts w:ascii="Book Antiqua" w:hAnsi="Book Antiqua"/>
                <w:lang w:val="el-GR"/>
              </w:rPr>
              <w:t xml:space="preserve">11 </w:t>
            </w:r>
            <w:r>
              <w:rPr>
                <w:rFonts w:ascii="Book Antiqua" w:hAnsi="Book Antiqua"/>
                <w:lang w:val="el-GR"/>
              </w:rPr>
              <w:t>Κριτήρια αξιολόγησης διαχείρισης χαρτοφυλακίου</w:t>
            </w:r>
          </w:p>
          <w:p w:rsidR="00343702" w:rsidRPr="004520EF" w:rsidRDefault="00343702" w:rsidP="00343702">
            <w:pPr>
              <w:rPr>
                <w:rFonts w:ascii="Book Antiqua" w:hAnsi="Book Antiqua"/>
                <w:lang w:val="el-GR"/>
              </w:rPr>
            </w:pPr>
            <w:r w:rsidRPr="004520EF">
              <w:rPr>
                <w:rFonts w:ascii="Book Antiqua" w:hAnsi="Book Antiqua"/>
                <w:lang w:val="el-GR"/>
              </w:rPr>
              <w:t xml:space="preserve">12 </w:t>
            </w:r>
            <w:r w:rsidR="004520EF">
              <w:rPr>
                <w:rFonts w:ascii="Book Antiqua" w:hAnsi="Book Antiqua"/>
                <w:lang w:val="el-GR"/>
              </w:rPr>
              <w:t>Εισαγωγή στη χρηματοοικονομική μηχανική</w:t>
            </w:r>
          </w:p>
          <w:p w:rsidR="00343702" w:rsidRPr="004520EF" w:rsidRDefault="00343702" w:rsidP="00343702">
            <w:pPr>
              <w:rPr>
                <w:rFonts w:ascii="Calibri" w:hAnsi="Calibri" w:cs="Arial"/>
                <w:color w:val="002060"/>
                <w:sz w:val="20"/>
                <w:szCs w:val="20"/>
                <w:lang w:val="el-GR"/>
              </w:rPr>
            </w:pPr>
            <w:r>
              <w:rPr>
                <w:rFonts w:ascii="Book Antiqua" w:hAnsi="Book Antiqua"/>
              </w:rPr>
              <w:t xml:space="preserve">13 </w:t>
            </w:r>
            <w:r w:rsidR="004520EF">
              <w:rPr>
                <w:rFonts w:ascii="Book Antiqua" w:hAnsi="Book Antiqua"/>
                <w:lang w:val="el-GR"/>
              </w:rPr>
              <w:t>Επισκόπηση</w:t>
            </w:r>
          </w:p>
          <w:p w:rsidR="007941F8" w:rsidRPr="00343702" w:rsidRDefault="00343702" w:rsidP="00D126F0">
            <w:pPr>
              <w:rPr>
                <w:rFonts w:ascii="Calibri" w:hAnsi="Calibri" w:cs="Arial"/>
                <w:color w:val="002060"/>
                <w:sz w:val="20"/>
                <w:szCs w:val="20"/>
              </w:rPr>
            </w:pPr>
            <w:r>
              <w:rPr>
                <w:rFonts w:ascii="Calibri" w:hAnsi="Calibri" w:cs="Arial"/>
                <w:color w:val="002060"/>
                <w:sz w:val="20"/>
                <w:szCs w:val="20"/>
              </w:rPr>
              <w:t xml:space="preserve"> </w:t>
            </w:r>
          </w:p>
        </w:tc>
      </w:tr>
    </w:tbl>
    <w:p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rsidR="000F4FD4" w:rsidRPr="007941F8" w:rsidRDefault="000F4FD4" w:rsidP="007941F8">
      <w:pPr>
        <w:pStyle w:val="ab"/>
        <w:widowControl w:val="0"/>
        <w:numPr>
          <w:ilvl w:val="0"/>
          <w:numId w:val="46"/>
        </w:numPr>
        <w:autoSpaceDE w:val="0"/>
        <w:autoSpaceDN w:val="0"/>
        <w:adjustRightInd w:val="0"/>
        <w:spacing w:before="120"/>
        <w:rPr>
          <w:rFonts w:cs="Arial"/>
          <w:b/>
          <w:color w:val="000000"/>
        </w:rPr>
      </w:pPr>
      <w:r w:rsidRPr="007941F8">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62E12"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705AAD" w:rsidRDefault="00D126F0" w:rsidP="007673F3">
            <w:pPr>
              <w:spacing w:after="200" w:line="276" w:lineRule="auto"/>
              <w:rPr>
                <w:rFonts w:ascii="Calibri" w:eastAsia="Calibri" w:hAnsi="Calibri"/>
                <w:iCs/>
                <w:color w:val="002060"/>
                <w:lang w:val="el-GR"/>
              </w:rPr>
            </w:pPr>
            <w:r w:rsidRPr="00003130">
              <w:rPr>
                <w:rFonts w:ascii="Calibri" w:eastAsia="Calibri" w:hAnsi="Calibri"/>
                <w:iCs/>
                <w:lang w:val="el-GR"/>
              </w:rPr>
              <w:t>Πρόσωπο με πρόσωπο</w:t>
            </w:r>
          </w:p>
        </w:tc>
      </w:tr>
      <w:tr w:rsidR="000F4FD4" w:rsidRPr="00F9479A"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D126F0" w:rsidRPr="0079285D" w:rsidRDefault="00D126F0" w:rsidP="00D126F0">
            <w:pPr>
              <w:jc w:val="both"/>
              <w:rPr>
                <w:rFonts w:asciiTheme="minorHAnsi" w:hAnsiTheme="minorHAnsi" w:cstheme="minorHAnsi"/>
                <w:lang w:val="el-GR"/>
              </w:rPr>
            </w:pPr>
            <w:r w:rsidRPr="0079285D">
              <w:rPr>
                <w:rFonts w:asciiTheme="minorHAnsi" w:hAnsiTheme="minorHAnsi" w:cstheme="minorHAnsi"/>
                <w:iCs/>
                <w:lang w:val="el-GR"/>
              </w:rPr>
              <w:t xml:space="preserve">Χρήση ΤΠΕ στη Διδασκαλία (παρουσιάσεις σε </w:t>
            </w:r>
            <w:r w:rsidRPr="0079285D">
              <w:rPr>
                <w:rFonts w:asciiTheme="minorHAnsi" w:hAnsiTheme="minorHAnsi" w:cstheme="minorHAnsi"/>
                <w:iCs/>
              </w:rPr>
              <w:t>power</w:t>
            </w:r>
            <w:r w:rsidRPr="0079285D">
              <w:rPr>
                <w:rFonts w:asciiTheme="minorHAnsi" w:hAnsiTheme="minorHAnsi" w:cstheme="minorHAnsi"/>
                <w:iCs/>
                <w:lang w:val="el-GR"/>
              </w:rPr>
              <w:t xml:space="preserve"> </w:t>
            </w:r>
            <w:r w:rsidRPr="0079285D">
              <w:rPr>
                <w:rFonts w:asciiTheme="minorHAnsi" w:hAnsiTheme="minorHAnsi" w:cstheme="minorHAnsi"/>
                <w:iCs/>
              </w:rPr>
              <w:t>point</w:t>
            </w:r>
            <w:r w:rsidRPr="0079285D">
              <w:rPr>
                <w:rFonts w:asciiTheme="minorHAnsi" w:hAnsiTheme="minorHAnsi" w:cstheme="minorHAnsi"/>
                <w:iCs/>
                <w:lang w:val="el-GR"/>
              </w:rPr>
              <w:t>).</w:t>
            </w:r>
          </w:p>
          <w:p w:rsidR="00D126F0" w:rsidRPr="0079285D" w:rsidRDefault="00D126F0" w:rsidP="00D126F0">
            <w:pPr>
              <w:jc w:val="both"/>
              <w:rPr>
                <w:rFonts w:asciiTheme="minorHAnsi" w:hAnsiTheme="minorHAnsi" w:cstheme="minorHAnsi"/>
                <w:lang w:val="el-GR"/>
              </w:rPr>
            </w:pPr>
            <w:r w:rsidRPr="0079285D">
              <w:rPr>
                <w:rFonts w:asciiTheme="minorHAnsi" w:hAnsiTheme="minorHAnsi" w:cstheme="minorHAnsi"/>
                <w:iCs/>
                <w:lang w:val="el-GR"/>
              </w:rPr>
              <w:t xml:space="preserve">Επικοινωνία με τους φοιτητές μέσω της πλατφόρμας του </w:t>
            </w:r>
            <w:r w:rsidRPr="0079285D">
              <w:rPr>
                <w:rFonts w:asciiTheme="minorHAnsi" w:hAnsiTheme="minorHAnsi" w:cstheme="minorHAnsi"/>
                <w:iCs/>
              </w:rPr>
              <w:t>eclass</w:t>
            </w:r>
            <w:r w:rsidRPr="0079285D">
              <w:rPr>
                <w:rFonts w:asciiTheme="minorHAnsi" w:hAnsiTheme="minorHAnsi" w:cstheme="minorHAnsi"/>
                <w:iCs/>
                <w:lang w:val="el-GR"/>
              </w:rPr>
              <w:t xml:space="preserve"> και </w:t>
            </w:r>
            <w:r w:rsidRPr="0079285D">
              <w:rPr>
                <w:rFonts w:asciiTheme="minorHAnsi" w:hAnsiTheme="minorHAnsi" w:cstheme="minorHAnsi"/>
                <w:iCs/>
              </w:rPr>
              <w:t>email</w:t>
            </w:r>
            <w:r w:rsidRPr="0079285D">
              <w:rPr>
                <w:rFonts w:asciiTheme="minorHAnsi" w:hAnsiTheme="minorHAnsi" w:cstheme="minorHAnsi"/>
                <w:iCs/>
                <w:lang w:val="el-GR"/>
              </w:rPr>
              <w:t>.</w:t>
            </w:r>
          </w:p>
          <w:p w:rsidR="000F4FD4" w:rsidRPr="00F72B38" w:rsidRDefault="00D126F0" w:rsidP="00D126F0">
            <w:pPr>
              <w:rPr>
                <w:rFonts w:ascii="Calibri" w:hAnsi="Calibri" w:cs="Arial"/>
                <w:b/>
                <w:color w:val="002060"/>
                <w:sz w:val="20"/>
                <w:szCs w:val="20"/>
                <w:lang w:val="el-GR"/>
              </w:rPr>
            </w:pPr>
            <w:r w:rsidRPr="0079285D">
              <w:rPr>
                <w:rFonts w:asciiTheme="minorHAnsi" w:hAnsiTheme="minorHAnsi" w:cstheme="minorHAnsi"/>
                <w:iCs/>
                <w:lang w:val="el-GR"/>
              </w:rPr>
              <w:t xml:space="preserve">Ανάρτηση διαφανειών και υλικού μαθήματος στην πλατφόρμα του </w:t>
            </w:r>
            <w:r w:rsidRPr="000C2E0B">
              <w:rPr>
                <w:rFonts w:asciiTheme="minorHAnsi" w:hAnsiTheme="minorHAnsi" w:cstheme="minorHAnsi"/>
                <w:iCs/>
              </w:rPr>
              <w:t>eclass</w:t>
            </w:r>
            <w:r w:rsidRPr="0079285D">
              <w:rPr>
                <w:rFonts w:asciiTheme="minorHAnsi" w:hAnsiTheme="minorHAnsi" w:cstheme="minorHAnsi"/>
                <w:iCs/>
                <w:lang w:val="el-GR"/>
              </w:rPr>
              <w:t>.</w:t>
            </w:r>
          </w:p>
        </w:tc>
      </w:tr>
      <w:tr w:rsidR="000F4FD4" w:rsidRPr="00705AAD"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rsidTr="007673F3">
              <w:tc>
                <w:tcPr>
                  <w:tcW w:w="2467" w:type="dxa"/>
                </w:tcPr>
                <w:p w:rsidR="000F4FD4" w:rsidRPr="00003130" w:rsidRDefault="00D126F0" w:rsidP="007673F3">
                  <w:pPr>
                    <w:rPr>
                      <w:rFonts w:ascii="Calibri" w:hAnsi="Calibri"/>
                      <w:iCs/>
                      <w:sz w:val="22"/>
                      <w:szCs w:val="22"/>
                      <w:lang w:val="el-GR"/>
                    </w:rPr>
                  </w:pPr>
                  <w:r w:rsidRPr="00003130">
                    <w:rPr>
                      <w:rFonts w:ascii="Calibri" w:hAnsi="Calibri"/>
                      <w:iCs/>
                      <w:sz w:val="22"/>
                      <w:szCs w:val="22"/>
                      <w:lang w:val="el-GR"/>
                    </w:rPr>
                    <w:t>Διαλέξεις</w:t>
                  </w:r>
                </w:p>
              </w:tc>
              <w:tc>
                <w:tcPr>
                  <w:tcW w:w="2468" w:type="dxa"/>
                </w:tcPr>
                <w:p w:rsidR="000F4FD4" w:rsidRPr="00003130" w:rsidRDefault="00D126F0" w:rsidP="007673F3">
                  <w:pPr>
                    <w:jc w:val="center"/>
                    <w:rPr>
                      <w:rFonts w:ascii="Calibri" w:hAnsi="Calibri" w:cs="Arial"/>
                      <w:sz w:val="20"/>
                      <w:szCs w:val="20"/>
                      <w:lang w:val="el-GR"/>
                    </w:rPr>
                  </w:pPr>
                  <w:r w:rsidRPr="00003130">
                    <w:rPr>
                      <w:rFonts w:ascii="Calibri" w:hAnsi="Calibri" w:cs="Arial"/>
                      <w:sz w:val="20"/>
                      <w:szCs w:val="20"/>
                      <w:lang w:val="el-GR"/>
                    </w:rPr>
                    <w:t>39</w:t>
                  </w:r>
                </w:p>
              </w:tc>
            </w:tr>
            <w:tr w:rsidR="000F4FD4" w:rsidRPr="00D126F0" w:rsidTr="007673F3">
              <w:tc>
                <w:tcPr>
                  <w:tcW w:w="2467" w:type="dxa"/>
                  <w:shd w:val="clear" w:color="auto" w:fill="auto"/>
                </w:tcPr>
                <w:p w:rsidR="000F4FD4" w:rsidRPr="00003130" w:rsidRDefault="00D126F0" w:rsidP="007673F3">
                  <w:pPr>
                    <w:rPr>
                      <w:rFonts w:ascii="Calibri" w:hAnsi="Calibri"/>
                      <w:iCs/>
                      <w:sz w:val="22"/>
                      <w:szCs w:val="22"/>
                      <w:lang w:val="el-GR"/>
                    </w:rPr>
                  </w:pPr>
                  <w:r w:rsidRPr="00003130">
                    <w:rPr>
                      <w:rFonts w:ascii="Calibri" w:hAnsi="Calibri"/>
                      <w:iCs/>
                      <w:sz w:val="22"/>
                      <w:szCs w:val="22"/>
                      <w:lang w:val="el-GR"/>
                    </w:rPr>
                    <w:t>Μελέτη και ανάλυση της βιβλιογραφίας</w:t>
                  </w:r>
                </w:p>
              </w:tc>
              <w:tc>
                <w:tcPr>
                  <w:tcW w:w="2468" w:type="dxa"/>
                </w:tcPr>
                <w:p w:rsidR="000F4FD4" w:rsidRPr="00003130" w:rsidRDefault="004520EF" w:rsidP="007673F3">
                  <w:pPr>
                    <w:jc w:val="center"/>
                    <w:rPr>
                      <w:rFonts w:ascii="Calibri" w:hAnsi="Calibri" w:cs="Arial"/>
                      <w:sz w:val="20"/>
                      <w:szCs w:val="20"/>
                      <w:lang w:val="el-GR"/>
                    </w:rPr>
                  </w:pPr>
                  <w:r>
                    <w:rPr>
                      <w:rFonts w:ascii="Calibri" w:hAnsi="Calibri" w:cs="Arial"/>
                      <w:sz w:val="20"/>
                      <w:szCs w:val="20"/>
                      <w:lang w:val="el-GR"/>
                    </w:rPr>
                    <w:t>65</w:t>
                  </w:r>
                </w:p>
              </w:tc>
            </w:tr>
            <w:tr w:rsidR="000F4FD4" w:rsidRPr="00D126F0" w:rsidTr="007673F3">
              <w:tc>
                <w:tcPr>
                  <w:tcW w:w="2467" w:type="dxa"/>
                  <w:shd w:val="clear" w:color="auto" w:fill="auto"/>
                </w:tcPr>
                <w:p w:rsidR="000F4FD4" w:rsidRPr="00003130" w:rsidRDefault="00D126F0" w:rsidP="007673F3">
                  <w:pPr>
                    <w:rPr>
                      <w:rFonts w:ascii="Calibri" w:hAnsi="Calibri"/>
                      <w:iCs/>
                      <w:sz w:val="22"/>
                      <w:szCs w:val="22"/>
                      <w:lang w:val="el-GR"/>
                    </w:rPr>
                  </w:pPr>
                  <w:r w:rsidRPr="00003130">
                    <w:rPr>
                      <w:rFonts w:ascii="Calibri" w:hAnsi="Calibri"/>
                      <w:iCs/>
                      <w:sz w:val="22"/>
                      <w:szCs w:val="22"/>
                      <w:lang w:val="el-GR"/>
                    </w:rPr>
                    <w:t>Αυτοδύναμη μελέτη – ερευνητική εργασία</w:t>
                  </w:r>
                </w:p>
              </w:tc>
              <w:tc>
                <w:tcPr>
                  <w:tcW w:w="2468" w:type="dxa"/>
                </w:tcPr>
                <w:p w:rsidR="000F4FD4" w:rsidRPr="00003130" w:rsidRDefault="004520EF" w:rsidP="007673F3">
                  <w:pPr>
                    <w:jc w:val="center"/>
                    <w:rPr>
                      <w:rFonts w:ascii="Calibri" w:hAnsi="Calibri" w:cs="Arial"/>
                      <w:sz w:val="20"/>
                      <w:szCs w:val="20"/>
                      <w:lang w:val="el-GR"/>
                    </w:rPr>
                  </w:pPr>
                  <w:r>
                    <w:rPr>
                      <w:rFonts w:ascii="Calibri" w:hAnsi="Calibri" w:cs="Arial"/>
                      <w:sz w:val="20"/>
                      <w:szCs w:val="20"/>
                      <w:lang w:val="el-GR"/>
                    </w:rPr>
                    <w:t>21</w:t>
                  </w:r>
                </w:p>
              </w:tc>
            </w:tr>
            <w:tr w:rsidR="000F4FD4" w:rsidRPr="00D126F0" w:rsidTr="007673F3">
              <w:tc>
                <w:tcPr>
                  <w:tcW w:w="2467" w:type="dxa"/>
                  <w:shd w:val="clear" w:color="auto" w:fill="auto"/>
                </w:tcPr>
                <w:p w:rsidR="000F4FD4" w:rsidRPr="00003130" w:rsidRDefault="000F4FD4" w:rsidP="007673F3">
                  <w:pPr>
                    <w:rPr>
                      <w:rFonts w:ascii="Calibri" w:hAnsi="Calibri"/>
                      <w:iCs/>
                      <w:sz w:val="22"/>
                      <w:szCs w:val="22"/>
                      <w:lang w:val="el-GR"/>
                    </w:rPr>
                  </w:pPr>
                </w:p>
              </w:tc>
              <w:tc>
                <w:tcPr>
                  <w:tcW w:w="2468" w:type="dxa"/>
                </w:tcPr>
                <w:p w:rsidR="000F4FD4" w:rsidRPr="00003130" w:rsidRDefault="000F4FD4" w:rsidP="007673F3">
                  <w:pPr>
                    <w:jc w:val="center"/>
                    <w:rPr>
                      <w:rFonts w:ascii="Calibri" w:hAnsi="Calibri" w:cs="Arial"/>
                      <w:sz w:val="20"/>
                      <w:szCs w:val="20"/>
                      <w:lang w:val="el-GR"/>
                    </w:rPr>
                  </w:pPr>
                </w:p>
              </w:tc>
            </w:tr>
            <w:tr w:rsidR="000F4FD4" w:rsidRPr="00D126F0" w:rsidTr="007673F3">
              <w:tc>
                <w:tcPr>
                  <w:tcW w:w="2467" w:type="dxa"/>
                  <w:shd w:val="clear" w:color="auto" w:fill="auto"/>
                </w:tcPr>
                <w:p w:rsidR="000F4FD4" w:rsidRPr="00003130" w:rsidRDefault="000F4FD4" w:rsidP="007673F3">
                  <w:pPr>
                    <w:rPr>
                      <w:rFonts w:ascii="Calibri" w:hAnsi="Calibri"/>
                      <w:iCs/>
                      <w:sz w:val="22"/>
                      <w:szCs w:val="22"/>
                      <w:lang w:val="el-GR"/>
                    </w:rPr>
                  </w:pPr>
                </w:p>
              </w:tc>
              <w:tc>
                <w:tcPr>
                  <w:tcW w:w="2468" w:type="dxa"/>
                </w:tcPr>
                <w:p w:rsidR="000F4FD4" w:rsidRPr="00003130" w:rsidRDefault="000F4FD4" w:rsidP="007673F3">
                  <w:pPr>
                    <w:jc w:val="center"/>
                    <w:rPr>
                      <w:rFonts w:ascii="Calibri" w:hAnsi="Calibri" w:cs="Arial"/>
                      <w:sz w:val="20"/>
                      <w:szCs w:val="20"/>
                      <w:lang w:val="el-GR"/>
                    </w:rPr>
                  </w:pPr>
                </w:p>
              </w:tc>
            </w:tr>
            <w:tr w:rsidR="000F4FD4" w:rsidRPr="00D126F0" w:rsidTr="007673F3">
              <w:tc>
                <w:tcPr>
                  <w:tcW w:w="2467" w:type="dxa"/>
                  <w:shd w:val="clear" w:color="auto" w:fill="auto"/>
                </w:tcPr>
                <w:p w:rsidR="000F4FD4" w:rsidRPr="00003130" w:rsidRDefault="000F4FD4" w:rsidP="007673F3">
                  <w:pPr>
                    <w:rPr>
                      <w:rFonts w:ascii="Calibri" w:hAnsi="Calibri"/>
                      <w:iCs/>
                      <w:sz w:val="22"/>
                      <w:szCs w:val="22"/>
                      <w:lang w:val="el-GR"/>
                    </w:rPr>
                  </w:pPr>
                </w:p>
              </w:tc>
              <w:tc>
                <w:tcPr>
                  <w:tcW w:w="2468" w:type="dxa"/>
                </w:tcPr>
                <w:p w:rsidR="000F4FD4" w:rsidRPr="00003130" w:rsidRDefault="000F4FD4" w:rsidP="007673F3">
                  <w:pPr>
                    <w:rPr>
                      <w:rFonts w:ascii="Calibri" w:hAnsi="Calibri" w:cs="Arial"/>
                      <w:i/>
                      <w:sz w:val="16"/>
                      <w:szCs w:val="16"/>
                      <w:lang w:val="el-GR"/>
                    </w:rPr>
                  </w:pPr>
                </w:p>
              </w:tc>
            </w:tr>
            <w:tr w:rsidR="000F4FD4" w:rsidRPr="00D126F0" w:rsidTr="007673F3">
              <w:tc>
                <w:tcPr>
                  <w:tcW w:w="2467" w:type="dxa"/>
                  <w:shd w:val="clear" w:color="auto" w:fill="auto"/>
                </w:tcPr>
                <w:p w:rsidR="000F4FD4" w:rsidRPr="00003130" w:rsidRDefault="000F4FD4" w:rsidP="007673F3">
                  <w:pPr>
                    <w:rPr>
                      <w:rFonts w:ascii="Calibri" w:hAnsi="Calibri"/>
                      <w:iCs/>
                      <w:sz w:val="22"/>
                      <w:szCs w:val="22"/>
                      <w:lang w:val="el-GR"/>
                    </w:rPr>
                  </w:pPr>
                </w:p>
              </w:tc>
              <w:tc>
                <w:tcPr>
                  <w:tcW w:w="2468" w:type="dxa"/>
                </w:tcPr>
                <w:p w:rsidR="000F4FD4" w:rsidRPr="00003130" w:rsidRDefault="000F4FD4" w:rsidP="007673F3">
                  <w:pPr>
                    <w:rPr>
                      <w:rFonts w:ascii="Calibri" w:hAnsi="Calibri" w:cs="Arial"/>
                      <w:i/>
                      <w:sz w:val="16"/>
                      <w:szCs w:val="16"/>
                      <w:lang w:val="el-GR"/>
                    </w:rPr>
                  </w:pPr>
                </w:p>
              </w:tc>
            </w:tr>
            <w:tr w:rsidR="000F4FD4" w:rsidRPr="00D126F0" w:rsidTr="007673F3">
              <w:tc>
                <w:tcPr>
                  <w:tcW w:w="2467" w:type="dxa"/>
                  <w:shd w:val="clear" w:color="auto" w:fill="auto"/>
                </w:tcPr>
                <w:p w:rsidR="000F4FD4" w:rsidRPr="00003130" w:rsidRDefault="000F4FD4" w:rsidP="007673F3">
                  <w:pPr>
                    <w:rPr>
                      <w:rFonts w:ascii="Calibri" w:hAnsi="Calibri"/>
                      <w:iCs/>
                      <w:sz w:val="22"/>
                      <w:szCs w:val="22"/>
                      <w:lang w:val="el-GR"/>
                    </w:rPr>
                  </w:pPr>
                </w:p>
              </w:tc>
              <w:tc>
                <w:tcPr>
                  <w:tcW w:w="2468" w:type="dxa"/>
                </w:tcPr>
                <w:p w:rsidR="000F4FD4" w:rsidRPr="00003130" w:rsidRDefault="000F4FD4" w:rsidP="007673F3">
                  <w:pPr>
                    <w:rPr>
                      <w:rFonts w:ascii="Calibri" w:hAnsi="Calibri" w:cs="Arial"/>
                      <w:i/>
                      <w:sz w:val="16"/>
                      <w:szCs w:val="16"/>
                      <w:lang w:val="el-GR"/>
                    </w:rPr>
                  </w:pPr>
                </w:p>
              </w:tc>
            </w:tr>
            <w:tr w:rsidR="000F4FD4" w:rsidRPr="00D126F0" w:rsidTr="007673F3">
              <w:tc>
                <w:tcPr>
                  <w:tcW w:w="2467" w:type="dxa"/>
                  <w:shd w:val="clear" w:color="auto" w:fill="auto"/>
                </w:tcPr>
                <w:p w:rsidR="000F4FD4" w:rsidRPr="00003130" w:rsidRDefault="000F4FD4" w:rsidP="007673F3">
                  <w:pPr>
                    <w:rPr>
                      <w:rFonts w:ascii="Calibri" w:hAnsi="Calibri"/>
                      <w:iCs/>
                      <w:sz w:val="22"/>
                      <w:szCs w:val="22"/>
                      <w:lang w:val="el-GR"/>
                    </w:rPr>
                  </w:pPr>
                </w:p>
              </w:tc>
              <w:tc>
                <w:tcPr>
                  <w:tcW w:w="2468" w:type="dxa"/>
                </w:tcPr>
                <w:p w:rsidR="000F4FD4" w:rsidRPr="00003130" w:rsidRDefault="000F4FD4" w:rsidP="007673F3">
                  <w:pPr>
                    <w:jc w:val="center"/>
                    <w:rPr>
                      <w:rFonts w:ascii="Calibri" w:hAnsi="Calibri" w:cs="Arial"/>
                      <w:sz w:val="20"/>
                      <w:szCs w:val="20"/>
                      <w:lang w:val="el-GR"/>
                    </w:rPr>
                  </w:pPr>
                </w:p>
              </w:tc>
            </w:tr>
            <w:tr w:rsidR="000F4FD4" w:rsidRPr="00705AAD" w:rsidTr="007673F3">
              <w:tc>
                <w:tcPr>
                  <w:tcW w:w="2467" w:type="dxa"/>
                </w:tcPr>
                <w:p w:rsidR="000F4FD4" w:rsidRPr="00003130" w:rsidRDefault="000F4FD4" w:rsidP="007673F3">
                  <w:pPr>
                    <w:rPr>
                      <w:rFonts w:ascii="Calibri" w:hAnsi="Calibri"/>
                      <w:iCs/>
                      <w:sz w:val="22"/>
                      <w:szCs w:val="22"/>
                      <w:lang w:val="el-GR"/>
                    </w:rPr>
                  </w:pPr>
                  <w:r w:rsidRPr="00003130">
                    <w:rPr>
                      <w:rFonts w:ascii="Calibri" w:hAnsi="Calibri"/>
                      <w:iCs/>
                      <w:sz w:val="22"/>
                      <w:szCs w:val="22"/>
                      <w:lang w:val="el-GR"/>
                    </w:rPr>
                    <w:t>Σύνολο</w:t>
                  </w:r>
                  <w:r w:rsidRPr="00003130">
                    <w:rPr>
                      <w:rFonts w:ascii="Calibri" w:hAnsi="Calibri"/>
                      <w:iCs/>
                      <w:sz w:val="22"/>
                      <w:szCs w:val="22"/>
                    </w:rPr>
                    <w:t xml:space="preserve"> </w:t>
                  </w:r>
                  <w:r w:rsidRPr="00003130">
                    <w:rPr>
                      <w:rFonts w:ascii="Calibri" w:hAnsi="Calibri"/>
                      <w:iCs/>
                      <w:sz w:val="22"/>
                      <w:szCs w:val="22"/>
                      <w:lang w:val="el-GR"/>
                    </w:rPr>
                    <w:t>Μαθήματος</w:t>
                  </w:r>
                  <w:r w:rsidRPr="00003130">
                    <w:rPr>
                      <w:rFonts w:ascii="Calibri" w:hAnsi="Calibri"/>
                      <w:iCs/>
                      <w:sz w:val="22"/>
                      <w:szCs w:val="22"/>
                    </w:rPr>
                    <w:t xml:space="preserve"> </w:t>
                  </w:r>
                </w:p>
              </w:tc>
              <w:tc>
                <w:tcPr>
                  <w:tcW w:w="2468" w:type="dxa"/>
                  <w:vAlign w:val="center"/>
                </w:tcPr>
                <w:p w:rsidR="000F4FD4" w:rsidRPr="00003130" w:rsidRDefault="00D126F0" w:rsidP="007673F3">
                  <w:pPr>
                    <w:jc w:val="center"/>
                    <w:rPr>
                      <w:rFonts w:ascii="Calibri" w:hAnsi="Calibri" w:cs="Arial"/>
                      <w:b/>
                      <w:i/>
                      <w:sz w:val="20"/>
                      <w:szCs w:val="20"/>
                      <w:lang w:val="el-GR"/>
                    </w:rPr>
                  </w:pPr>
                  <w:r w:rsidRPr="00003130">
                    <w:rPr>
                      <w:rFonts w:ascii="Calibri" w:hAnsi="Calibri" w:cs="Arial"/>
                      <w:b/>
                      <w:i/>
                      <w:sz w:val="20"/>
                      <w:szCs w:val="20"/>
                      <w:lang w:val="el-GR"/>
                    </w:rPr>
                    <w:t>125</w:t>
                  </w:r>
                </w:p>
              </w:tc>
            </w:tr>
          </w:tbl>
          <w:p w:rsidR="000F4FD4" w:rsidRPr="00705AAD" w:rsidRDefault="000F4FD4" w:rsidP="007673F3">
            <w:pPr>
              <w:rPr>
                <w:rFonts w:ascii="Tahoma" w:hAnsi="Tahoma" w:cs="Tahoma"/>
              </w:rPr>
            </w:pPr>
          </w:p>
        </w:tc>
      </w:tr>
      <w:tr w:rsidR="000F4FD4" w:rsidRPr="00F9479A"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Default="000F4FD4" w:rsidP="007673F3">
            <w:pPr>
              <w:rPr>
                <w:rFonts w:ascii="Calibri" w:hAnsi="Calibri" w:cs="Arial"/>
                <w:color w:val="002060"/>
                <w:lang w:val="el-GR"/>
              </w:rPr>
            </w:pPr>
          </w:p>
          <w:p w:rsidR="00D126F0" w:rsidRPr="00003130" w:rsidRDefault="00D126F0" w:rsidP="00D126F0">
            <w:pPr>
              <w:rPr>
                <w:rFonts w:ascii="Calibri" w:hAnsi="Calibri" w:cs="Arial"/>
                <w:lang w:val="el-GR"/>
              </w:rPr>
            </w:pPr>
            <w:r w:rsidRPr="00003130">
              <w:rPr>
                <w:rFonts w:ascii="Calibri" w:hAnsi="Calibri" w:cs="Arial"/>
                <w:lang w:val="el-GR"/>
              </w:rPr>
              <w:t>Η αξιολόγηση γίνεται στην ελληνική γλώσσα, με γραπτές εξετάσεις στο τέλος του εξαμήνου.</w:t>
            </w:r>
          </w:p>
          <w:p w:rsidR="00D126F0" w:rsidRPr="00003130" w:rsidRDefault="00D126F0" w:rsidP="00D126F0">
            <w:pPr>
              <w:rPr>
                <w:rFonts w:ascii="Calibri" w:hAnsi="Calibri" w:cs="Arial"/>
                <w:lang w:val="el-GR"/>
              </w:rPr>
            </w:pPr>
            <w:r w:rsidRPr="00003130">
              <w:rPr>
                <w:rFonts w:ascii="Calibri" w:hAnsi="Calibri" w:cs="Arial"/>
                <w:lang w:val="el-GR"/>
              </w:rPr>
              <w:t>Οι εξετάσεις περιλαμβάνουν ερωτήσεις ανάπτυξης δοκιμίου καθώς και ασκήσεις.</w:t>
            </w:r>
          </w:p>
          <w:p w:rsidR="00D126F0" w:rsidRPr="00003130" w:rsidRDefault="00D126F0" w:rsidP="00D126F0">
            <w:pPr>
              <w:rPr>
                <w:rFonts w:ascii="Calibri" w:hAnsi="Calibri" w:cs="Arial"/>
                <w:lang w:val="el-GR"/>
              </w:rPr>
            </w:pPr>
            <w:r w:rsidRPr="00003130">
              <w:rPr>
                <w:rFonts w:ascii="Calibri" w:hAnsi="Calibri" w:cs="Arial"/>
                <w:lang w:val="el-GR"/>
              </w:rPr>
              <w:t>Προφορική εξέταση προβλέπεται σε ειδικές περιπτώσεις (π.χ. ορισμένες περιπτώσεις φοιτητών με μαθησιακές δυσκολίες).</w:t>
            </w:r>
          </w:p>
          <w:p w:rsidR="00D126F0" w:rsidRPr="00003130" w:rsidRDefault="00D126F0" w:rsidP="00D126F0">
            <w:pPr>
              <w:rPr>
                <w:rFonts w:ascii="Calibri" w:hAnsi="Calibri" w:cs="Arial"/>
                <w:lang w:val="el-GR"/>
              </w:rPr>
            </w:pPr>
          </w:p>
          <w:p w:rsidR="00D126F0" w:rsidRPr="00003130" w:rsidRDefault="00D126F0" w:rsidP="00D126F0">
            <w:pPr>
              <w:rPr>
                <w:rFonts w:ascii="Calibri" w:hAnsi="Calibri" w:cs="Arial"/>
                <w:lang w:val="el-GR"/>
              </w:rPr>
            </w:pPr>
          </w:p>
          <w:p w:rsidR="00D126F0" w:rsidRPr="00003130" w:rsidRDefault="00D126F0" w:rsidP="00D126F0">
            <w:pPr>
              <w:rPr>
                <w:rFonts w:ascii="Calibri" w:hAnsi="Calibri" w:cs="Arial"/>
                <w:lang w:val="el-GR"/>
              </w:rPr>
            </w:pPr>
            <w:r w:rsidRPr="00003130">
              <w:rPr>
                <w:rFonts w:ascii="Calibri" w:hAnsi="Calibri" w:cs="Arial"/>
                <w:lang w:val="el-GR"/>
              </w:rPr>
              <w:t>Τα κριτήρια αξιολόγησης και γενικά το περίγραμμα του μαθήματος αναρτάται στην ιστοσελίδα του μαθήματος.</w:t>
            </w:r>
          </w:p>
          <w:p w:rsidR="000F4FD4" w:rsidRPr="00705AAD" w:rsidRDefault="000F4FD4" w:rsidP="007673F3">
            <w:pPr>
              <w:rPr>
                <w:rFonts w:ascii="Calibri" w:hAnsi="Calibri" w:cs="Arial"/>
                <w:color w:val="002060"/>
                <w:lang w:val="el-GR"/>
              </w:rPr>
            </w:pPr>
          </w:p>
        </w:tc>
      </w:tr>
    </w:tbl>
    <w:p w:rsidR="000F4FD4" w:rsidRPr="00705AAD" w:rsidRDefault="000F4FD4" w:rsidP="007941F8">
      <w:pPr>
        <w:widowControl w:val="0"/>
        <w:numPr>
          <w:ilvl w:val="0"/>
          <w:numId w:val="46"/>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rsidTr="007673F3">
        <w:tc>
          <w:tcPr>
            <w:tcW w:w="8472" w:type="dxa"/>
          </w:tcPr>
          <w:p w:rsidR="001A1C52"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rsidR="00D126F0" w:rsidRPr="00003130" w:rsidRDefault="00D126F0" w:rsidP="004520EF">
            <w:pPr>
              <w:rPr>
                <w:rFonts w:asciiTheme="minorHAnsi" w:hAnsiTheme="minorHAnsi" w:cstheme="minorHAnsi"/>
                <w:sz w:val="20"/>
                <w:szCs w:val="20"/>
                <w:lang w:val="el-GR"/>
              </w:rPr>
            </w:pPr>
            <w:r w:rsidRPr="00003130">
              <w:rPr>
                <w:rFonts w:asciiTheme="minorHAnsi" w:hAnsiTheme="minorHAnsi" w:cstheme="minorHAnsi"/>
                <w:sz w:val="20"/>
                <w:szCs w:val="20"/>
              </w:rPr>
              <w:t>Brealey</w:t>
            </w:r>
            <w:r w:rsidRPr="00003130">
              <w:rPr>
                <w:rFonts w:asciiTheme="minorHAnsi" w:hAnsiTheme="minorHAnsi" w:cstheme="minorHAnsi"/>
                <w:sz w:val="20"/>
                <w:szCs w:val="20"/>
                <w:lang w:val="el-GR"/>
              </w:rPr>
              <w:t xml:space="preserve">, </w:t>
            </w:r>
            <w:r w:rsidRPr="00003130">
              <w:rPr>
                <w:rFonts w:asciiTheme="minorHAnsi" w:hAnsiTheme="minorHAnsi" w:cstheme="minorHAnsi"/>
                <w:sz w:val="20"/>
                <w:szCs w:val="20"/>
              </w:rPr>
              <w:t>R</w:t>
            </w:r>
            <w:r w:rsidRPr="00003130">
              <w:rPr>
                <w:rFonts w:asciiTheme="minorHAnsi" w:hAnsiTheme="minorHAnsi" w:cstheme="minorHAnsi"/>
                <w:sz w:val="20"/>
                <w:szCs w:val="20"/>
                <w:lang w:val="el-GR"/>
              </w:rPr>
              <w:t>.</w:t>
            </w:r>
            <w:r w:rsidRPr="00003130">
              <w:rPr>
                <w:rFonts w:asciiTheme="minorHAnsi" w:hAnsiTheme="minorHAnsi" w:cstheme="minorHAnsi"/>
                <w:sz w:val="20"/>
                <w:szCs w:val="20"/>
              </w:rPr>
              <w:t>A</w:t>
            </w:r>
            <w:r w:rsidRPr="00003130">
              <w:rPr>
                <w:rFonts w:asciiTheme="minorHAnsi" w:hAnsiTheme="minorHAnsi" w:cstheme="minorHAnsi"/>
                <w:sz w:val="20"/>
                <w:szCs w:val="20"/>
                <w:lang w:val="el-GR"/>
              </w:rPr>
              <w:t xml:space="preserve">., </w:t>
            </w:r>
            <w:r w:rsidRPr="00003130">
              <w:rPr>
                <w:rFonts w:asciiTheme="minorHAnsi" w:hAnsiTheme="minorHAnsi" w:cstheme="minorHAnsi"/>
                <w:sz w:val="20"/>
                <w:szCs w:val="20"/>
              </w:rPr>
              <w:t>Myers</w:t>
            </w:r>
            <w:r w:rsidRPr="00003130">
              <w:rPr>
                <w:rFonts w:asciiTheme="minorHAnsi" w:hAnsiTheme="minorHAnsi" w:cstheme="minorHAnsi"/>
                <w:sz w:val="20"/>
                <w:szCs w:val="20"/>
                <w:lang w:val="el-GR"/>
              </w:rPr>
              <w:t xml:space="preserve">, </w:t>
            </w:r>
            <w:r w:rsidRPr="00003130">
              <w:rPr>
                <w:rFonts w:asciiTheme="minorHAnsi" w:hAnsiTheme="minorHAnsi" w:cstheme="minorHAnsi"/>
                <w:sz w:val="20"/>
                <w:szCs w:val="20"/>
              </w:rPr>
              <w:t>S</w:t>
            </w:r>
            <w:r w:rsidRPr="00003130">
              <w:rPr>
                <w:rFonts w:asciiTheme="minorHAnsi" w:hAnsiTheme="minorHAnsi" w:cstheme="minorHAnsi"/>
                <w:sz w:val="20"/>
                <w:szCs w:val="20"/>
                <w:lang w:val="el-GR"/>
              </w:rPr>
              <w:t>.</w:t>
            </w:r>
            <w:r w:rsidRPr="00003130">
              <w:rPr>
                <w:rFonts w:asciiTheme="minorHAnsi" w:hAnsiTheme="minorHAnsi" w:cstheme="minorHAnsi"/>
                <w:sz w:val="20"/>
                <w:szCs w:val="20"/>
              </w:rPr>
              <w:t>C</w:t>
            </w:r>
            <w:r w:rsidRPr="00003130">
              <w:rPr>
                <w:rFonts w:asciiTheme="minorHAnsi" w:hAnsiTheme="minorHAnsi" w:cstheme="minorHAnsi"/>
                <w:sz w:val="20"/>
                <w:szCs w:val="20"/>
                <w:lang w:val="el-GR"/>
              </w:rPr>
              <w:t xml:space="preserve">., </w:t>
            </w:r>
            <w:r w:rsidRPr="00003130">
              <w:rPr>
                <w:rFonts w:asciiTheme="minorHAnsi" w:hAnsiTheme="minorHAnsi" w:cstheme="minorHAnsi"/>
                <w:sz w:val="20"/>
                <w:szCs w:val="20"/>
              </w:rPr>
              <w:t>Allen</w:t>
            </w:r>
            <w:r w:rsidRPr="00003130">
              <w:rPr>
                <w:rFonts w:asciiTheme="minorHAnsi" w:hAnsiTheme="minorHAnsi" w:cstheme="minorHAnsi"/>
                <w:sz w:val="20"/>
                <w:szCs w:val="20"/>
                <w:lang w:val="el-GR"/>
              </w:rPr>
              <w:t xml:space="preserve">, </w:t>
            </w:r>
            <w:r w:rsidRPr="00003130">
              <w:rPr>
                <w:rFonts w:asciiTheme="minorHAnsi" w:hAnsiTheme="minorHAnsi" w:cstheme="minorHAnsi"/>
                <w:sz w:val="20"/>
                <w:szCs w:val="20"/>
              </w:rPr>
              <w:t>F</w:t>
            </w:r>
            <w:r w:rsidRPr="00003130">
              <w:rPr>
                <w:rFonts w:asciiTheme="minorHAnsi" w:hAnsiTheme="minorHAnsi" w:cstheme="minorHAnsi"/>
                <w:sz w:val="20"/>
                <w:szCs w:val="20"/>
                <w:lang w:val="el-GR"/>
              </w:rPr>
              <w:t>. (2014) Αρχές χρηματοοικονομικής των επιχειρήσεων. Ουτοπία.</w:t>
            </w:r>
          </w:p>
          <w:p w:rsidR="00D126F0" w:rsidRPr="00003130" w:rsidRDefault="00D126F0" w:rsidP="004520EF">
            <w:pPr>
              <w:rPr>
                <w:rFonts w:asciiTheme="minorHAnsi" w:hAnsiTheme="minorHAnsi" w:cstheme="minorHAnsi"/>
                <w:sz w:val="20"/>
                <w:szCs w:val="20"/>
                <w:lang w:val="el-GR"/>
              </w:rPr>
            </w:pPr>
            <w:r w:rsidRPr="00003130">
              <w:rPr>
                <w:rFonts w:asciiTheme="minorHAnsi" w:hAnsiTheme="minorHAnsi" w:cstheme="minorHAnsi"/>
                <w:sz w:val="20"/>
                <w:szCs w:val="20"/>
                <w:lang w:val="el-GR"/>
              </w:rPr>
              <w:t xml:space="preserve">Βασιλείου, Δ., Ηρειώτης, Ν. (2008) Χρηματοοικονομική Διοίκηση. Εκδόσεις </w:t>
            </w:r>
            <w:r w:rsidRPr="00003130">
              <w:rPr>
                <w:rFonts w:asciiTheme="minorHAnsi" w:hAnsiTheme="minorHAnsi" w:cstheme="minorHAnsi"/>
                <w:sz w:val="20"/>
                <w:szCs w:val="20"/>
              </w:rPr>
              <w:t>Rosili</w:t>
            </w:r>
            <w:r w:rsidRPr="00003130">
              <w:rPr>
                <w:rFonts w:asciiTheme="minorHAnsi" w:hAnsiTheme="minorHAnsi" w:cstheme="minorHAnsi"/>
                <w:sz w:val="20"/>
                <w:szCs w:val="20"/>
                <w:lang w:val="el-GR"/>
              </w:rPr>
              <w:t>.</w:t>
            </w:r>
          </w:p>
          <w:p w:rsidR="00D126F0" w:rsidRPr="00003130" w:rsidRDefault="00D126F0" w:rsidP="00D126F0">
            <w:pPr>
              <w:rPr>
                <w:rFonts w:asciiTheme="minorHAnsi" w:hAnsiTheme="minorHAnsi" w:cstheme="minorHAnsi"/>
                <w:sz w:val="20"/>
                <w:szCs w:val="20"/>
              </w:rPr>
            </w:pPr>
            <w:r w:rsidRPr="00003130">
              <w:rPr>
                <w:rFonts w:asciiTheme="minorHAnsi" w:hAnsiTheme="minorHAnsi" w:cstheme="minorHAnsi"/>
                <w:sz w:val="20"/>
                <w:szCs w:val="20"/>
              </w:rPr>
              <w:t>Titman</w:t>
            </w:r>
            <w:r w:rsidRPr="004520EF">
              <w:rPr>
                <w:rFonts w:asciiTheme="minorHAnsi" w:hAnsiTheme="minorHAnsi" w:cstheme="minorHAnsi"/>
                <w:sz w:val="20"/>
                <w:szCs w:val="20"/>
              </w:rPr>
              <w:t xml:space="preserve">, </w:t>
            </w:r>
            <w:r w:rsidRPr="00003130">
              <w:rPr>
                <w:rFonts w:asciiTheme="minorHAnsi" w:hAnsiTheme="minorHAnsi" w:cstheme="minorHAnsi"/>
                <w:sz w:val="20"/>
                <w:szCs w:val="20"/>
              </w:rPr>
              <w:t>S</w:t>
            </w:r>
            <w:r w:rsidRPr="004520EF">
              <w:rPr>
                <w:rFonts w:asciiTheme="minorHAnsi" w:hAnsiTheme="minorHAnsi" w:cstheme="minorHAnsi"/>
                <w:sz w:val="20"/>
                <w:szCs w:val="20"/>
              </w:rPr>
              <w:t xml:space="preserve">., </w:t>
            </w:r>
            <w:r w:rsidRPr="00003130">
              <w:rPr>
                <w:rFonts w:asciiTheme="minorHAnsi" w:hAnsiTheme="minorHAnsi" w:cstheme="minorHAnsi"/>
                <w:sz w:val="20"/>
                <w:szCs w:val="20"/>
              </w:rPr>
              <w:t>Keown</w:t>
            </w:r>
            <w:r w:rsidRPr="004520EF">
              <w:rPr>
                <w:rFonts w:asciiTheme="minorHAnsi" w:hAnsiTheme="minorHAnsi" w:cstheme="minorHAnsi"/>
                <w:sz w:val="20"/>
                <w:szCs w:val="20"/>
              </w:rPr>
              <w:t xml:space="preserve"> </w:t>
            </w:r>
            <w:r w:rsidRPr="00003130">
              <w:rPr>
                <w:rFonts w:asciiTheme="minorHAnsi" w:hAnsiTheme="minorHAnsi" w:cstheme="minorHAnsi"/>
                <w:sz w:val="20"/>
                <w:szCs w:val="20"/>
              </w:rPr>
              <w:t>J</w:t>
            </w:r>
            <w:r w:rsidRPr="004520EF">
              <w:rPr>
                <w:rFonts w:asciiTheme="minorHAnsi" w:hAnsiTheme="minorHAnsi" w:cstheme="minorHAnsi"/>
                <w:sz w:val="20"/>
                <w:szCs w:val="20"/>
              </w:rPr>
              <w:t>.</w:t>
            </w:r>
            <w:r w:rsidRPr="00003130">
              <w:rPr>
                <w:rFonts w:asciiTheme="minorHAnsi" w:hAnsiTheme="minorHAnsi" w:cstheme="minorHAnsi"/>
                <w:sz w:val="20"/>
                <w:szCs w:val="20"/>
              </w:rPr>
              <w:t>A</w:t>
            </w:r>
            <w:r w:rsidRPr="004520EF">
              <w:rPr>
                <w:rFonts w:asciiTheme="minorHAnsi" w:hAnsiTheme="minorHAnsi" w:cstheme="minorHAnsi"/>
                <w:sz w:val="20"/>
                <w:szCs w:val="20"/>
              </w:rPr>
              <w:t xml:space="preserve">., </w:t>
            </w:r>
            <w:r w:rsidRPr="00003130">
              <w:rPr>
                <w:rFonts w:asciiTheme="minorHAnsi" w:hAnsiTheme="minorHAnsi" w:cstheme="minorHAnsi"/>
                <w:sz w:val="20"/>
                <w:szCs w:val="20"/>
              </w:rPr>
              <w:t>Martin</w:t>
            </w:r>
            <w:r w:rsidRPr="004520EF">
              <w:rPr>
                <w:rFonts w:asciiTheme="minorHAnsi" w:hAnsiTheme="minorHAnsi" w:cstheme="minorHAnsi"/>
                <w:sz w:val="20"/>
                <w:szCs w:val="20"/>
              </w:rPr>
              <w:t xml:space="preserve">, </w:t>
            </w:r>
            <w:r w:rsidRPr="00003130">
              <w:rPr>
                <w:rFonts w:asciiTheme="minorHAnsi" w:hAnsiTheme="minorHAnsi" w:cstheme="minorHAnsi"/>
                <w:sz w:val="20"/>
                <w:szCs w:val="20"/>
              </w:rPr>
              <w:t>J</w:t>
            </w:r>
            <w:r w:rsidRPr="004520EF">
              <w:rPr>
                <w:rFonts w:asciiTheme="minorHAnsi" w:hAnsiTheme="minorHAnsi" w:cstheme="minorHAnsi"/>
                <w:sz w:val="20"/>
                <w:szCs w:val="20"/>
              </w:rPr>
              <w:t xml:space="preserve">. (2015). </w:t>
            </w:r>
            <w:r w:rsidRPr="00003130">
              <w:rPr>
                <w:rFonts w:asciiTheme="minorHAnsi" w:hAnsiTheme="minorHAnsi" w:cstheme="minorHAnsi"/>
                <w:sz w:val="20"/>
                <w:szCs w:val="20"/>
                <w:lang w:val="el-GR"/>
              </w:rPr>
              <w:t>Χρηματοοικονομική Διαχείριση. Εκδόσεις</w:t>
            </w:r>
            <w:r w:rsidRPr="00003130">
              <w:rPr>
                <w:rFonts w:asciiTheme="minorHAnsi" w:hAnsiTheme="minorHAnsi" w:cstheme="minorHAnsi"/>
                <w:sz w:val="20"/>
                <w:szCs w:val="20"/>
              </w:rPr>
              <w:t xml:space="preserve"> </w:t>
            </w:r>
            <w:r w:rsidRPr="00003130">
              <w:rPr>
                <w:rFonts w:asciiTheme="minorHAnsi" w:hAnsiTheme="minorHAnsi" w:cstheme="minorHAnsi"/>
                <w:sz w:val="20"/>
                <w:szCs w:val="20"/>
                <w:lang w:val="el-GR"/>
              </w:rPr>
              <w:t>Παπαζήση</w:t>
            </w:r>
            <w:r w:rsidRPr="00003130">
              <w:rPr>
                <w:rFonts w:asciiTheme="minorHAnsi" w:hAnsiTheme="minorHAnsi" w:cstheme="minorHAnsi"/>
                <w:sz w:val="20"/>
                <w:szCs w:val="20"/>
              </w:rPr>
              <w:t>.</w:t>
            </w:r>
          </w:p>
          <w:p w:rsidR="00D126F0" w:rsidRPr="00003130" w:rsidRDefault="00D126F0" w:rsidP="00D126F0">
            <w:pPr>
              <w:rPr>
                <w:rFonts w:asciiTheme="minorHAnsi" w:hAnsiTheme="minorHAnsi" w:cstheme="minorHAnsi"/>
                <w:b/>
                <w:sz w:val="20"/>
                <w:szCs w:val="20"/>
              </w:rPr>
            </w:pPr>
          </w:p>
          <w:p w:rsidR="00D126F0" w:rsidRPr="00003130" w:rsidRDefault="00D126F0" w:rsidP="00D126F0">
            <w:pPr>
              <w:rPr>
                <w:rFonts w:asciiTheme="minorHAnsi" w:hAnsiTheme="minorHAnsi" w:cstheme="minorHAnsi"/>
                <w:sz w:val="20"/>
                <w:szCs w:val="20"/>
              </w:rPr>
            </w:pPr>
          </w:p>
          <w:p w:rsidR="00D126F0" w:rsidRPr="00003130" w:rsidRDefault="00D126F0" w:rsidP="00D126F0">
            <w:pPr>
              <w:rPr>
                <w:rFonts w:asciiTheme="minorHAnsi" w:hAnsiTheme="minorHAnsi" w:cstheme="minorHAnsi"/>
                <w:sz w:val="20"/>
                <w:szCs w:val="20"/>
              </w:rPr>
            </w:pPr>
            <w:r w:rsidRPr="00003130">
              <w:rPr>
                <w:rFonts w:asciiTheme="minorHAnsi" w:hAnsiTheme="minorHAnsi" w:cstheme="minorHAnsi"/>
                <w:sz w:val="20"/>
                <w:szCs w:val="20"/>
              </w:rPr>
              <w:t>Andrikopoulos, A. (2015). Truth and financial economics: A review and assessment. International Review of Financial Analysis, 39, 186-195.</w:t>
            </w:r>
          </w:p>
          <w:p w:rsidR="00D126F0" w:rsidRPr="00003130" w:rsidRDefault="00D126F0" w:rsidP="00D126F0">
            <w:pPr>
              <w:rPr>
                <w:rFonts w:asciiTheme="minorHAnsi" w:hAnsiTheme="minorHAnsi" w:cstheme="minorHAnsi"/>
                <w:sz w:val="20"/>
                <w:szCs w:val="20"/>
              </w:rPr>
            </w:pPr>
            <w:r w:rsidRPr="00003130">
              <w:rPr>
                <w:rFonts w:asciiTheme="minorHAnsi" w:hAnsiTheme="minorHAnsi" w:cstheme="minorHAnsi"/>
                <w:sz w:val="20"/>
                <w:szCs w:val="20"/>
              </w:rPr>
              <w:t>Andrikopoulos, A. (2013). Financial economics: Objects and methods of science. Cambridge Journal of Economics, 37(1), 35-55.</w:t>
            </w:r>
          </w:p>
          <w:p w:rsidR="00D126F0" w:rsidRPr="00003130" w:rsidRDefault="00D126F0" w:rsidP="00D126F0">
            <w:pPr>
              <w:rPr>
                <w:rFonts w:asciiTheme="minorHAnsi" w:hAnsiTheme="minorHAnsi" w:cstheme="minorHAnsi"/>
                <w:sz w:val="20"/>
                <w:szCs w:val="20"/>
              </w:rPr>
            </w:pPr>
            <w:r w:rsidRPr="00003130">
              <w:rPr>
                <w:rFonts w:asciiTheme="minorHAnsi" w:hAnsiTheme="minorHAnsi" w:cstheme="minorHAnsi"/>
                <w:sz w:val="20"/>
                <w:szCs w:val="20"/>
              </w:rPr>
              <w:t xml:space="preserve">Stulz, R.M. (2003) Handbook of the Economics of Finance, vol. 1B, </w:t>
            </w:r>
            <w:r w:rsidRPr="00003130">
              <w:rPr>
                <w:rFonts w:asciiTheme="minorHAnsi" w:hAnsiTheme="minorHAnsi" w:cstheme="minorHAnsi"/>
                <w:sz w:val="20"/>
                <w:szCs w:val="20"/>
                <w:lang w:val="el-GR"/>
              </w:rPr>
              <w:t>σσ</w:t>
            </w:r>
            <w:r w:rsidRPr="00003130">
              <w:rPr>
                <w:rFonts w:asciiTheme="minorHAnsi" w:hAnsiTheme="minorHAnsi" w:cstheme="minorHAnsi"/>
                <w:sz w:val="20"/>
                <w:szCs w:val="20"/>
              </w:rPr>
              <w:t>. 1051-1121.</w:t>
            </w:r>
          </w:p>
          <w:p w:rsidR="00D126F0" w:rsidRPr="00003130" w:rsidRDefault="00D126F0" w:rsidP="00D126F0">
            <w:pPr>
              <w:rPr>
                <w:rFonts w:asciiTheme="minorHAnsi" w:hAnsiTheme="minorHAnsi" w:cstheme="minorHAnsi"/>
                <w:sz w:val="20"/>
                <w:szCs w:val="20"/>
              </w:rPr>
            </w:pPr>
            <w:r w:rsidRPr="00003130">
              <w:rPr>
                <w:rFonts w:asciiTheme="minorHAnsi" w:hAnsiTheme="minorHAnsi" w:cstheme="minorHAnsi"/>
                <w:sz w:val="20"/>
                <w:szCs w:val="20"/>
              </w:rPr>
              <w:lastRenderedPageBreak/>
              <w:t>Berk, J., DeMarzo, P. (2014). Corporate finance. Pearson.</w:t>
            </w:r>
            <w:r w:rsidRPr="00003130">
              <w:rPr>
                <w:rFonts w:asciiTheme="minorHAnsi" w:hAnsiTheme="minorHAnsi" w:cstheme="minorHAnsi"/>
                <w:sz w:val="20"/>
                <w:szCs w:val="20"/>
              </w:rPr>
              <w:br/>
              <w:t>Brigham, E.F. Ehrhardt, M.C. (2013) Financial management: Theory and practice. South-Western College Pub.</w:t>
            </w:r>
          </w:p>
          <w:p w:rsidR="00D126F0" w:rsidRPr="00003130" w:rsidRDefault="00D126F0" w:rsidP="004520EF">
            <w:pPr>
              <w:rPr>
                <w:rFonts w:asciiTheme="minorHAnsi" w:hAnsiTheme="minorHAnsi" w:cstheme="minorHAnsi"/>
                <w:sz w:val="20"/>
                <w:szCs w:val="20"/>
              </w:rPr>
            </w:pPr>
            <w:r w:rsidRPr="00003130">
              <w:rPr>
                <w:rFonts w:asciiTheme="minorHAnsi" w:hAnsiTheme="minorHAnsi" w:cstheme="minorHAnsi"/>
                <w:sz w:val="20"/>
                <w:szCs w:val="20"/>
              </w:rPr>
              <w:t>Hull, J.C. (2014) Futures, options and other derivatives. Pearson.</w:t>
            </w:r>
          </w:p>
          <w:p w:rsidR="00D126F0" w:rsidRPr="00003130" w:rsidRDefault="00D126F0" w:rsidP="004520EF">
            <w:pPr>
              <w:rPr>
                <w:rFonts w:asciiTheme="minorHAnsi" w:hAnsiTheme="minorHAnsi" w:cstheme="minorHAnsi"/>
                <w:sz w:val="20"/>
                <w:szCs w:val="20"/>
              </w:rPr>
            </w:pPr>
            <w:r w:rsidRPr="00003130">
              <w:rPr>
                <w:rFonts w:asciiTheme="minorHAnsi" w:hAnsiTheme="minorHAnsi" w:cstheme="minorHAnsi"/>
                <w:sz w:val="20"/>
                <w:szCs w:val="20"/>
              </w:rPr>
              <w:t>Lawson, T. (1997). Economics and reality. Routledge.</w:t>
            </w:r>
          </w:p>
          <w:p w:rsidR="004520EF" w:rsidRDefault="00D126F0" w:rsidP="004520EF">
            <w:pPr>
              <w:rPr>
                <w:rFonts w:asciiTheme="minorHAnsi" w:hAnsiTheme="minorHAnsi" w:cstheme="minorHAnsi"/>
                <w:sz w:val="20"/>
                <w:szCs w:val="20"/>
              </w:rPr>
            </w:pPr>
            <w:r w:rsidRPr="00003130">
              <w:rPr>
                <w:rFonts w:asciiTheme="minorHAnsi" w:hAnsiTheme="minorHAnsi" w:cstheme="minorHAnsi"/>
                <w:sz w:val="20"/>
                <w:szCs w:val="20"/>
              </w:rPr>
              <w:t>Pilbeam, K. (2013). International finance. Palgrave-McMillan.</w:t>
            </w:r>
          </w:p>
          <w:p w:rsidR="004520EF" w:rsidRDefault="004520EF" w:rsidP="004520EF">
            <w:pPr>
              <w:rPr>
                <w:rFonts w:asciiTheme="minorHAnsi" w:hAnsiTheme="minorHAnsi" w:cstheme="minorHAnsi"/>
                <w:sz w:val="20"/>
                <w:szCs w:val="20"/>
              </w:rPr>
            </w:pPr>
          </w:p>
          <w:p w:rsidR="00D126F0" w:rsidRPr="00003130" w:rsidRDefault="004520EF" w:rsidP="004520EF">
            <w:pPr>
              <w:rPr>
                <w:rFonts w:asciiTheme="minorHAnsi" w:hAnsiTheme="minorHAnsi" w:cstheme="minorHAnsi"/>
                <w:i/>
                <w:sz w:val="20"/>
                <w:szCs w:val="20"/>
              </w:rPr>
            </w:pPr>
            <w:r w:rsidRPr="00003130">
              <w:rPr>
                <w:rFonts w:asciiTheme="minorHAnsi" w:hAnsiTheme="minorHAnsi" w:cstheme="minorHAnsi"/>
                <w:i/>
                <w:sz w:val="20"/>
                <w:szCs w:val="20"/>
              </w:rPr>
              <w:t xml:space="preserve"> </w:t>
            </w:r>
          </w:p>
          <w:p w:rsidR="000F4FD4" w:rsidRPr="008E6A2E" w:rsidRDefault="00A8723B" w:rsidP="007673F3">
            <w:pPr>
              <w:jc w:val="both"/>
              <w:rPr>
                <w:rFonts w:ascii="Calibri" w:hAnsi="Calibri" w:cs="Arial"/>
                <w:i/>
                <w:sz w:val="16"/>
                <w:szCs w:val="16"/>
              </w:rPr>
            </w:pPr>
            <w:r w:rsidRPr="008E6A2E">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8E6A2E">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0F4FD4" w:rsidRPr="008E6A2E">
              <w:rPr>
                <w:rFonts w:ascii="Calibri" w:hAnsi="Calibri" w:cs="Arial"/>
                <w:i/>
                <w:sz w:val="16"/>
                <w:szCs w:val="16"/>
              </w:rPr>
              <w:t xml:space="preserve"> </w:t>
            </w:r>
            <w:r w:rsidR="000F4FD4" w:rsidRPr="00705AAD">
              <w:rPr>
                <w:rFonts w:ascii="Calibri" w:hAnsi="Calibri" w:cs="Arial"/>
                <w:i/>
                <w:sz w:val="16"/>
                <w:szCs w:val="16"/>
                <w:lang w:val="el-GR"/>
              </w:rPr>
              <w:t>περιοδικά</w:t>
            </w:r>
            <w:r w:rsidR="000F4FD4" w:rsidRPr="008E6A2E">
              <w:rPr>
                <w:rFonts w:ascii="Calibri" w:hAnsi="Calibri" w:cs="Arial"/>
                <w:i/>
                <w:sz w:val="16"/>
                <w:szCs w:val="16"/>
              </w:rPr>
              <w:t>:</w:t>
            </w:r>
          </w:p>
          <w:p w:rsidR="000F4FD4" w:rsidRPr="00003130" w:rsidRDefault="00D126F0" w:rsidP="007673F3">
            <w:pPr>
              <w:jc w:val="both"/>
              <w:rPr>
                <w:rFonts w:ascii="Calibri" w:eastAsia="Calibri" w:hAnsi="Calibri" w:cs="Arial"/>
                <w:sz w:val="20"/>
                <w:szCs w:val="20"/>
              </w:rPr>
            </w:pPr>
            <w:r w:rsidRPr="00003130">
              <w:rPr>
                <w:rFonts w:ascii="Calibri" w:eastAsia="Calibri" w:hAnsi="Calibri" w:cs="Arial"/>
                <w:sz w:val="20"/>
                <w:szCs w:val="20"/>
              </w:rPr>
              <w:t>Financial Management</w:t>
            </w:r>
          </w:p>
          <w:p w:rsidR="00D126F0" w:rsidRPr="00003130" w:rsidRDefault="00D126F0" w:rsidP="007673F3">
            <w:pPr>
              <w:jc w:val="both"/>
              <w:rPr>
                <w:rFonts w:ascii="Calibri" w:eastAsia="Calibri" w:hAnsi="Calibri" w:cs="Arial"/>
                <w:sz w:val="20"/>
                <w:szCs w:val="20"/>
              </w:rPr>
            </w:pPr>
            <w:r w:rsidRPr="00003130">
              <w:rPr>
                <w:rFonts w:ascii="Calibri" w:eastAsia="Calibri" w:hAnsi="Calibri" w:cs="Arial"/>
                <w:sz w:val="20"/>
                <w:szCs w:val="20"/>
              </w:rPr>
              <w:t>European Financial Management</w:t>
            </w:r>
          </w:p>
          <w:p w:rsidR="000F4FD4" w:rsidRPr="00003130" w:rsidRDefault="008E6A2E" w:rsidP="007673F3">
            <w:pPr>
              <w:jc w:val="both"/>
              <w:rPr>
                <w:rFonts w:ascii="Calibri" w:eastAsia="Calibri" w:hAnsi="Calibri" w:cs="Arial"/>
                <w:sz w:val="20"/>
                <w:szCs w:val="20"/>
              </w:rPr>
            </w:pPr>
            <w:r w:rsidRPr="00003130">
              <w:rPr>
                <w:rFonts w:ascii="Calibri" w:eastAsia="Calibri" w:hAnsi="Calibri" w:cs="Arial"/>
                <w:sz w:val="20"/>
                <w:szCs w:val="20"/>
              </w:rPr>
              <w:t>Journal of Corporate Finance</w:t>
            </w:r>
          </w:p>
          <w:p w:rsidR="008E6A2E" w:rsidRPr="00003130" w:rsidRDefault="008E6A2E" w:rsidP="007673F3">
            <w:pPr>
              <w:jc w:val="both"/>
              <w:rPr>
                <w:rFonts w:ascii="Calibri" w:eastAsia="Calibri" w:hAnsi="Calibri" w:cs="Arial"/>
                <w:sz w:val="20"/>
                <w:szCs w:val="20"/>
              </w:rPr>
            </w:pPr>
            <w:r w:rsidRPr="00003130">
              <w:rPr>
                <w:rFonts w:ascii="Calibri" w:eastAsia="Calibri" w:hAnsi="Calibri" w:cs="Arial"/>
                <w:sz w:val="20"/>
                <w:szCs w:val="20"/>
              </w:rPr>
              <w:t>Journal of Applied Corporate Finance</w:t>
            </w:r>
          </w:p>
          <w:p w:rsidR="008E6A2E" w:rsidRPr="00003130" w:rsidRDefault="008E6A2E" w:rsidP="007673F3">
            <w:pPr>
              <w:jc w:val="both"/>
              <w:rPr>
                <w:rFonts w:ascii="Calibri" w:eastAsia="Calibri" w:hAnsi="Calibri" w:cs="Arial"/>
                <w:sz w:val="20"/>
                <w:szCs w:val="20"/>
              </w:rPr>
            </w:pPr>
            <w:r w:rsidRPr="00003130">
              <w:rPr>
                <w:rFonts w:ascii="Calibri" w:eastAsia="Calibri" w:hAnsi="Calibri" w:cs="Arial"/>
                <w:sz w:val="20"/>
                <w:szCs w:val="20"/>
              </w:rPr>
              <w:t>Financial Analysts Journal</w:t>
            </w:r>
          </w:p>
          <w:p w:rsidR="000F4FD4" w:rsidRPr="008E6A2E" w:rsidRDefault="000F4FD4" w:rsidP="007673F3">
            <w:pPr>
              <w:jc w:val="both"/>
              <w:rPr>
                <w:rFonts w:ascii="Calibri" w:hAnsi="Calibri" w:cs="Arial"/>
                <w:b/>
              </w:rPr>
            </w:pPr>
          </w:p>
        </w:tc>
      </w:tr>
    </w:tbl>
    <w:p w:rsidR="000F4FD4" w:rsidRPr="008E6A2E"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rsidR="000F4FD4" w:rsidRPr="008E6A2E" w:rsidRDefault="000F4FD4" w:rsidP="000F4FD4">
      <w:pPr>
        <w:rPr>
          <w:rFonts w:ascii="Cambria" w:hAnsi="Cambria"/>
          <w:b/>
          <w:bCs/>
          <w:sz w:val="28"/>
        </w:rPr>
      </w:pPr>
    </w:p>
    <w:sectPr w:rsidR="000F4FD4" w:rsidRPr="008E6A2E"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2E8" w:rsidRDefault="00A062E8">
      <w:r>
        <w:separator/>
      </w:r>
    </w:p>
  </w:endnote>
  <w:endnote w:type="continuationSeparator" w:id="0">
    <w:p w:rsidR="00A062E8" w:rsidRDefault="00A0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2E8" w:rsidRDefault="00A062E8">
      <w:r>
        <w:separator/>
      </w:r>
    </w:p>
  </w:footnote>
  <w:footnote w:type="continuationSeparator" w:id="0">
    <w:p w:rsidR="00A062E8" w:rsidRDefault="00A0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84C34"/>
    <w:multiLevelType w:val="hybridMultilevel"/>
    <w:tmpl w:val="56660256"/>
    <w:lvl w:ilvl="0" w:tplc="32DA31EA">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1"/>
  </w:num>
  <w:num w:numId="3">
    <w:abstractNumId w:val="5"/>
  </w:num>
  <w:num w:numId="4">
    <w:abstractNumId w:val="2"/>
  </w:num>
  <w:num w:numId="5">
    <w:abstractNumId w:val="4"/>
  </w:num>
  <w:num w:numId="6">
    <w:abstractNumId w:val="41"/>
  </w:num>
  <w:num w:numId="7">
    <w:abstractNumId w:val="18"/>
  </w:num>
  <w:num w:numId="8">
    <w:abstractNumId w:val="9"/>
  </w:num>
  <w:num w:numId="9">
    <w:abstractNumId w:val="34"/>
  </w:num>
  <w:num w:numId="10">
    <w:abstractNumId w:val="42"/>
  </w:num>
  <w:num w:numId="11">
    <w:abstractNumId w:val="19"/>
  </w:num>
  <w:num w:numId="12">
    <w:abstractNumId w:val="23"/>
  </w:num>
  <w:num w:numId="13">
    <w:abstractNumId w:val="9"/>
  </w:num>
  <w:num w:numId="14">
    <w:abstractNumId w:val="15"/>
  </w:num>
  <w:num w:numId="15">
    <w:abstractNumId w:val="37"/>
  </w:num>
  <w:num w:numId="16">
    <w:abstractNumId w:val="34"/>
  </w:num>
  <w:num w:numId="17">
    <w:abstractNumId w:val="13"/>
  </w:num>
  <w:num w:numId="18">
    <w:abstractNumId w:val="24"/>
  </w:num>
  <w:num w:numId="19">
    <w:abstractNumId w:val="0"/>
  </w:num>
  <w:num w:numId="20">
    <w:abstractNumId w:val="16"/>
  </w:num>
  <w:num w:numId="21">
    <w:abstractNumId w:val="7"/>
  </w:num>
  <w:num w:numId="22">
    <w:abstractNumId w:val="30"/>
  </w:num>
  <w:num w:numId="23">
    <w:abstractNumId w:val="12"/>
  </w:num>
  <w:num w:numId="24">
    <w:abstractNumId w:val="20"/>
  </w:num>
  <w:num w:numId="25">
    <w:abstractNumId w:val="1"/>
  </w:num>
  <w:num w:numId="26">
    <w:abstractNumId w:val="43"/>
  </w:num>
  <w:num w:numId="27">
    <w:abstractNumId w:val="33"/>
  </w:num>
  <w:num w:numId="28">
    <w:abstractNumId w:val="8"/>
  </w:num>
  <w:num w:numId="29">
    <w:abstractNumId w:val="25"/>
  </w:num>
  <w:num w:numId="30">
    <w:abstractNumId w:val="39"/>
  </w:num>
  <w:num w:numId="31">
    <w:abstractNumId w:val="10"/>
  </w:num>
  <w:num w:numId="32">
    <w:abstractNumId w:val="28"/>
  </w:num>
  <w:num w:numId="33">
    <w:abstractNumId w:val="22"/>
  </w:num>
  <w:num w:numId="34">
    <w:abstractNumId w:val="38"/>
  </w:num>
  <w:num w:numId="3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1"/>
  </w:num>
  <w:num w:numId="38">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1"/>
  </w:num>
  <w:num w:numId="41">
    <w:abstractNumId w:val="17"/>
  </w:num>
  <w:num w:numId="42">
    <w:abstractNumId w:val="27"/>
  </w:num>
  <w:num w:numId="43">
    <w:abstractNumId w:val="29"/>
  </w:num>
  <w:num w:numId="44">
    <w:abstractNumId w:val="36"/>
  </w:num>
  <w:num w:numId="45">
    <w:abstractNumId w:val="3"/>
  </w:num>
  <w:num w:numId="4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3130"/>
    <w:rsid w:val="00004C61"/>
    <w:rsid w:val="00006162"/>
    <w:rsid w:val="000068A2"/>
    <w:rsid w:val="00006C7F"/>
    <w:rsid w:val="00007755"/>
    <w:rsid w:val="000108F7"/>
    <w:rsid w:val="00011899"/>
    <w:rsid w:val="00012287"/>
    <w:rsid w:val="0001536E"/>
    <w:rsid w:val="000153D9"/>
    <w:rsid w:val="000205C6"/>
    <w:rsid w:val="00022168"/>
    <w:rsid w:val="00024339"/>
    <w:rsid w:val="00024BCB"/>
    <w:rsid w:val="0002577E"/>
    <w:rsid w:val="000275E7"/>
    <w:rsid w:val="000275FF"/>
    <w:rsid w:val="00027E26"/>
    <w:rsid w:val="000306CF"/>
    <w:rsid w:val="00030F0D"/>
    <w:rsid w:val="000328C5"/>
    <w:rsid w:val="00033075"/>
    <w:rsid w:val="00033ED5"/>
    <w:rsid w:val="00034998"/>
    <w:rsid w:val="000373F3"/>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702"/>
    <w:rsid w:val="003439C9"/>
    <w:rsid w:val="003445BF"/>
    <w:rsid w:val="003502E3"/>
    <w:rsid w:val="00350F13"/>
    <w:rsid w:val="00352D0C"/>
    <w:rsid w:val="00353C50"/>
    <w:rsid w:val="00354399"/>
    <w:rsid w:val="00355C87"/>
    <w:rsid w:val="003561DF"/>
    <w:rsid w:val="0035685C"/>
    <w:rsid w:val="00361F67"/>
    <w:rsid w:val="0036291A"/>
    <w:rsid w:val="00362E12"/>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20E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2D9F"/>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41F8"/>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605B"/>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E6A2E"/>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2E8"/>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6BC6"/>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3388"/>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5FF"/>
    <w:rsid w:val="00CE3C25"/>
    <w:rsid w:val="00CE679F"/>
    <w:rsid w:val="00CF1623"/>
    <w:rsid w:val="00CF3802"/>
    <w:rsid w:val="00CF3EA8"/>
    <w:rsid w:val="00CF466D"/>
    <w:rsid w:val="00CF5338"/>
    <w:rsid w:val="00D02965"/>
    <w:rsid w:val="00D02FA0"/>
    <w:rsid w:val="00D05A9F"/>
    <w:rsid w:val="00D05BBA"/>
    <w:rsid w:val="00D06BE1"/>
    <w:rsid w:val="00D10857"/>
    <w:rsid w:val="00D126F0"/>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479A"/>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EEC35"/>
  <w15:docId w15:val="{CBA285CC-87C4-4604-8815-F9BCB3F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1102</Words>
  <Characters>5957</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Andreas</cp:lastModifiedBy>
  <cp:revision>4</cp:revision>
  <cp:lastPrinted>2014-04-24T14:33:00Z</cp:lastPrinted>
  <dcterms:created xsi:type="dcterms:W3CDTF">2017-09-17T20:11:00Z</dcterms:created>
  <dcterms:modified xsi:type="dcterms:W3CDTF">2017-09-17T20:31:00Z</dcterms:modified>
</cp:coreProperties>
</file>